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0"/>
      </w:tblGrid>
      <w:tr w:rsidR="002E4899" w:rsidRPr="002E4899" w:rsidTr="002E4899">
        <w:tc>
          <w:tcPr>
            <w:tcW w:w="5000" w:type="pct"/>
            <w:shd w:val="clear" w:color="auto" w:fill="FFFFFF"/>
            <w:vAlign w:val="center"/>
            <w:hideMark/>
          </w:tcPr>
          <w:p w:rsidR="002E4899" w:rsidRPr="002E4899" w:rsidRDefault="002E4899" w:rsidP="002E4899">
            <w:pPr>
              <w:pStyle w:val="1"/>
              <w:spacing w:before="144" w:after="60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Факторы и последствия расширения еврозоны</w:t>
            </w:r>
          </w:p>
        </w:tc>
      </w:tr>
      <w:tr w:rsidR="002E4899" w:rsidRPr="002E4899" w:rsidTr="002E4899">
        <w:tc>
          <w:tcPr>
            <w:tcW w:w="5000" w:type="pct"/>
            <w:shd w:val="clear" w:color="auto" w:fill="FFFFFF"/>
            <w:vAlign w:val="center"/>
            <w:hideMark/>
          </w:tcPr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Проблема евро стала не только внутренним делом еврозоны или, в более широком смысле, </w:t>
            </w:r>
            <w:hyperlink r:id="rId5" w:tgtFrame="_blank" w:history="1">
              <w:r w:rsidRPr="002E4899">
                <w:rPr>
                  <w:rStyle w:val="a5"/>
                  <w:rFonts w:ascii="Arial" w:hAnsi="Arial" w:cs="Arial"/>
                  <w:color w:val="000000" w:themeColor="text1"/>
                  <w:sz w:val="27"/>
                  <w:szCs w:val="27"/>
                </w:rPr>
                <w:t>Европейского союза</w:t>
              </w:r>
            </w:hyperlink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 (ЕС) в целом. Это глобальная проблема, поскольку в этой денежной единице хранится около 20% всех мировых валютных резервов. Евро — вторая по распространенности резервная денежная единица после доллара США (на него приходится примерно 63,5% всех резервов). По данным Международного валютного фонда (МВФ), суммарный объем валютных резервов составляет около 11,3 </w:t>
            </w:r>
            <w:proofErr w:type="spellStart"/>
            <w:proofErr w:type="gram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трлн</w:t>
            </w:r>
            <w:proofErr w:type="spellEnd"/>
            <w:proofErr w:type="gram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долл. США1, из них 9,65 </w:t>
            </w:r>
            <w:proofErr w:type="spell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трлн</w:t>
            </w:r>
            <w:proofErr w:type="spell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— так называемые распределенные резервы. Немногим более 4,5% из них деноминировано в японских иенах, 4,5 — в фунтах стерлингов, 2 — в канадских долларах, 1,1 — в китайских юанях и лишь 0,16% — в швейцарских франках. Оставшиеся 2,4% деноминированы в других валютах — это австралийские, новозеландские, сингапурские и гонконгские доллары, южнокорейские воны, южноафриканские ранды и саудовские риалы.</w:t>
            </w:r>
          </w:p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Конечно, в обозримом будущем, несмотря на все проблемы, с которыми столкнулся американский доллар (</w:t>
            </w:r>
            <w:proofErr w:type="spell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Prasad</w:t>
            </w:r>
            <w:proofErr w:type="spell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, 2014), он продолжит играть ведущую роль в глобальных экономических отношениях в качестве не только резервной валюты, но и основного платежного средства в международных расчетах и основной меры стоимости товаров на глобальном рынке. Однако со временем ему придется несколько уступить свои позиции другим валютам, включая китайский юань (</w:t>
            </w:r>
            <w:proofErr w:type="spell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Kolodko</w:t>
            </w:r>
            <w:proofErr w:type="spell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, 2018). Хотя в евро деноминировано лишь 1/5 валютных резервов, эта валюта будет оказывать заметное воздействие на устойчивость глобальной экономики, несмотря на </w:t>
            </w:r>
            <w:proofErr w:type="gram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то</w:t>
            </w:r>
            <w:proofErr w:type="gram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что с 2009 г. ее доля в совокупных резервах всех стран снизилась более чем на 7 п. и.2</w:t>
            </w:r>
          </w:p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Можно ожидать разворота данного понижательного тренда, хотя это зависит от ряда факторов, не только экономических, но и политических. Однако очевидно, что на общее состояние единого валютного пространства ЕС и на международный статус евро в качестве мировой резервной валюты значительное влияние окажут изменение методов регулирования и надзора в еврозоне, а также расширение территории его обращения. </w:t>
            </w: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lastRenderedPageBreak/>
              <w:t>Наибольшие трудности связаны с бюджетными аспектами конвергенции с еврозоной стран, в настоящее время находящихся за ее пределами.</w:t>
            </w:r>
          </w:p>
          <w:p w:rsidR="002E4899" w:rsidRPr="002E4899" w:rsidRDefault="002E4899" w:rsidP="002E4899">
            <w:pPr>
              <w:pStyle w:val="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Критерий валютной конвергенции</w:t>
            </w:r>
          </w:p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Евро обращается в 19 из 28 стран Европейского Союза: в 11 (Австрия, Бельгия, Финляндия, Франция, Германия, Ирландия, Италия, Люксембург, Нидерланды, Португалия, Испания) с момента введения клиринговой системы в 1999 г. и запуска евро в обращение в 2002 г., а с 2003 г. — с проблемами вплоть до сегодняшнего дня (</w:t>
            </w:r>
            <w:proofErr w:type="spell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Galbraith</w:t>
            </w:r>
            <w:proofErr w:type="spell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, 2016; </w:t>
            </w:r>
            <w:proofErr w:type="spellStart"/>
            <w:proofErr w:type="gram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Kolodko</w:t>
            </w:r>
            <w:proofErr w:type="spell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, 2016) — в Греции.</w:t>
            </w:r>
            <w:proofErr w:type="gram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Позднее, в 2008 г., к еврозоне присоединились Кипр и Мальта, а также Словения — в 2007 г., Словакия — в 2009 г., Эстония — в 2011 г., Латвия — в 2014 г. и Литва — в 2015 г. В соответствии с подписанными соглашениями евро обращается в Андорре, Монако, Сан-Марино и Ватикане, а также — де-факто — в Лихтенштейне, где он принят наряду с официальной валютой — швейцарским франком</w:t>
            </w:r>
            <w:proofErr w:type="gram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, и на основании одностороннего введения — в Черногории и Косово.</w:t>
            </w:r>
          </w:p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Из девяти стран — членов Европейского Союза, не входящих в еврозону, лишь две — Дания и Соединенное Королевство — не обязаны вступать в Европейский валютный союз (ЕВС), согласно соответствующему пункту Маастрихтского договора (1993 г.). Все другие страны, включая Швецию (член Евросоюза с 1995 г.) и пять бывших соцстран (Болгария, Чешская Республика, Венгрия, Польша и Румыния), имеют право и обязательство вступить в ЕВС в соответствии с условиями подписанных ими договоров о присоединении. До сих пор они не воспользовались этим правом, главным образом из-за невыполнения обязательных критериев конвергенции.</w:t>
            </w:r>
          </w:p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В соответствии с договором можно ожидать, что все они (разумеется, кроме Соединенного Королевства, которое выходит из Евросоюза) присоединятся к еврозоне, хотя нельзя предсказать, когда и в каком порядке. Также можно предположить, что по мере дальнейшего расширения ЕВС и, как следствие, присоединения бывших соцстран (Болгария и Румыния, вероятно, станут первыми), особенно при условии успешного решения нынешних проблем еврозоны, Дания также скорректирует свою стратегию и может отказаться от </w:t>
            </w: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lastRenderedPageBreak/>
              <w:t>собственной валюты.</w:t>
            </w:r>
          </w:p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Процессы экономической интеграции в Европейский Союз регулируются нормативной базой, главным элементом которой выступает Договор о функционировании Европейского союза (TFEU)3. В соответствии с его положениями страны — члены Европейского Союза проводят собственную экономическую политику, но при этом определенные координирующие меры также принимаются на наднациональном уровне. В TFEU определены основные методы и принципы формирования единой экономической политики (</w:t>
            </w:r>
            <w:proofErr w:type="spell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Postula</w:t>
            </w:r>
            <w:proofErr w:type="spell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, 2015). Эти вопросы освещены в Главе 1 «Экономическая политика» Раздела VIII «Экономическая и валютная политика». Основные положения данной главы изложены в ст. 121, касающейся многостороннего наблюдения и координации экономической политики, а в ст. 126 речь идет о предотвращении чрезмерного бюджетного дефицита. В ней определены формы корректирующих мероприятий в отношении стран со слишком высоким государственным долгом или чрезмерным дефицитом государственных финансов. В соответствии со ст. 140 TFEU Европейская комиссия (ЕК) и Европейский центральный банк (ЕЦБ) обязаны каждые два года представлять отчеты о результатах работы стран-членов, нарушающих требования для введения евро, о выполнении своих обязатель</w:t>
            </w:r>
            <w:proofErr w:type="gram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ств в пл</w:t>
            </w:r>
            <w:proofErr w:type="gram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ане соблюдения положений Экономического и валютного союза. Это так называемые страны-члены с ограничениями (ст. 139 TFEU).</w:t>
            </w:r>
          </w:p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Валютная конвергенция требует выполнения пяти номинальных финансовых критериев.</w:t>
            </w:r>
          </w:p>
          <w:p w:rsidR="002E4899" w:rsidRPr="002E4899" w:rsidRDefault="002E4899" w:rsidP="00543A09">
            <w:pPr>
              <w:numPr>
                <w:ilvl w:val="0"/>
                <w:numId w:val="1"/>
              </w:numPr>
              <w:spacing w:before="72" w:after="72" w:line="240" w:lineRule="auto"/>
              <w:ind w:left="480"/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  <w:t>В соответствии с критерием инфляции ее уровень не должен превышать более чем на 1,5 п. п. среднее арифметическое показателей трех стран ЕС с самым низким уровнем инфляции.</w:t>
            </w:r>
          </w:p>
          <w:p w:rsidR="002E4899" w:rsidRPr="002E4899" w:rsidRDefault="002E4899" w:rsidP="00543A09">
            <w:pPr>
              <w:numPr>
                <w:ilvl w:val="0"/>
                <w:numId w:val="1"/>
              </w:numPr>
              <w:spacing w:before="72" w:after="72" w:line="240" w:lineRule="auto"/>
              <w:ind w:left="480"/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  <w:t>В соответствии с критерием процентной ставки долгосрочная процентная ставка не должна превышать более чем на 2 п. п. среднее арифметическое показателей трех стран Евросоюза с самыми стабильными ценами.</w:t>
            </w:r>
          </w:p>
          <w:p w:rsidR="002E4899" w:rsidRPr="002E4899" w:rsidRDefault="002E4899" w:rsidP="00543A09">
            <w:pPr>
              <w:numPr>
                <w:ilvl w:val="0"/>
                <w:numId w:val="1"/>
              </w:numPr>
              <w:spacing w:before="72" w:after="72" w:line="240" w:lineRule="auto"/>
              <w:ind w:left="480"/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  <w:t>В соответствии с критерием бюджетного дефицита он не должен превышать 3% ВВП.</w:t>
            </w:r>
          </w:p>
          <w:p w:rsidR="002E4899" w:rsidRPr="002E4899" w:rsidRDefault="002E4899" w:rsidP="00543A09">
            <w:pPr>
              <w:numPr>
                <w:ilvl w:val="0"/>
                <w:numId w:val="1"/>
              </w:numPr>
              <w:spacing w:before="72" w:after="72" w:line="240" w:lineRule="auto"/>
              <w:ind w:left="480"/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  <w:t>В соответствии с критерием государственного долга его предельный размер не должен превышать 60% ВВП.</w:t>
            </w:r>
          </w:p>
          <w:p w:rsidR="002E4899" w:rsidRPr="002E4899" w:rsidRDefault="002E4899" w:rsidP="00543A09">
            <w:pPr>
              <w:numPr>
                <w:ilvl w:val="0"/>
                <w:numId w:val="1"/>
              </w:numPr>
              <w:spacing w:before="72" w:after="72" w:line="240" w:lineRule="auto"/>
              <w:ind w:left="480"/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  <w:t xml:space="preserve">В соответствии с критерием обменного курса его колебания </w:t>
            </w:r>
            <w:r w:rsidRPr="002E4899">
              <w:rPr>
                <w:rFonts w:ascii="Arial" w:eastAsiaTheme="majorEastAsia" w:hAnsi="Arial" w:cs="Arial"/>
                <w:b/>
                <w:bCs/>
                <w:color w:val="000000" w:themeColor="text1"/>
                <w:sz w:val="27"/>
                <w:szCs w:val="27"/>
              </w:rPr>
              <w:lastRenderedPageBreak/>
              <w:t>относительно центрального значения не должны превышать +/-15%.</w:t>
            </w:r>
          </w:p>
          <w:p w:rsidR="002E4899" w:rsidRPr="002E4899" w:rsidRDefault="002E4899" w:rsidP="002E4899">
            <w:pPr>
              <w:pStyle w:val="1"/>
              <w:spacing w:before="144" w:after="60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Страна, желающая присоединиться к еврозоне, должна иметь действующий механизм плавающего обменного курса, а в течение двух лет, предшествующих переходу на евро, — быть участником европейского механизма обменных курсов ERM-2. В данный период обменный курс национальной валюты к евро может отклоняться от центрального паритета, согласованного между страной-кандидатом, ЕЦБ и ЕК, на 15% в большую или меньшую сторону</w:t>
            </w:r>
            <w:proofErr w:type="gramStart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4</w:t>
            </w:r>
            <w:proofErr w:type="gramEnd"/>
            <w:r w:rsidRPr="002E4899">
              <w:rPr>
                <w:rFonts w:ascii="Arial" w:hAnsi="Arial" w:cs="Arial"/>
                <w:color w:val="000000" w:themeColor="text1"/>
                <w:sz w:val="27"/>
                <w:szCs w:val="27"/>
              </w:rPr>
              <w:t>. На практике применяется более узкий и асимметричный диапазон: от +15% до -2,25%. Однако это происходит не всегда. В частности, были допущены два отклонения от данного правила: привязка обменного курса и ревальвация.</w:t>
            </w:r>
          </w:p>
        </w:tc>
      </w:tr>
    </w:tbl>
    <w:p w:rsidR="002E4899" w:rsidRPr="002E4899" w:rsidRDefault="002E4899" w:rsidP="002E4899">
      <w:pPr>
        <w:rPr>
          <w:vanish/>
          <w:color w:val="000000" w:themeColor="text1"/>
        </w:rPr>
      </w:pPr>
    </w:p>
    <w:p w:rsidR="00B20B9E" w:rsidRPr="002E4899" w:rsidRDefault="00B20B9E">
      <w:pPr>
        <w:rPr>
          <w:color w:val="000000" w:themeColor="text1"/>
        </w:rPr>
      </w:pPr>
    </w:p>
    <w:sectPr w:rsidR="00B20B9E" w:rsidRPr="002E4899" w:rsidSect="003F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3A0"/>
    <w:multiLevelType w:val="multilevel"/>
    <w:tmpl w:val="E4D0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CD4"/>
    <w:rsid w:val="002E4899"/>
    <w:rsid w:val="003F21F8"/>
    <w:rsid w:val="00854CD4"/>
    <w:rsid w:val="00B2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F8"/>
  </w:style>
  <w:style w:type="paragraph" w:styleId="1">
    <w:name w:val="heading 1"/>
    <w:basedOn w:val="a"/>
    <w:next w:val="a"/>
    <w:link w:val="10"/>
    <w:uiPriority w:val="9"/>
    <w:qFormat/>
    <w:rsid w:val="002E48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4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54C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E4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2E4899"/>
    <w:rPr>
      <w:b/>
      <w:bCs/>
    </w:rPr>
  </w:style>
  <w:style w:type="character" w:styleId="a5">
    <w:name w:val="Hyperlink"/>
    <w:basedOn w:val="a0"/>
    <w:uiPriority w:val="99"/>
    <w:unhideWhenUsed/>
    <w:rsid w:val="002E48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eosfera.org/evropa/276-evropejskij-soyuz-evrosoyuz-stran-obedinennoj-evrop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3-01</dc:creator>
  <cp:lastModifiedBy>3-01</cp:lastModifiedBy>
  <cp:revision>3</cp:revision>
  <dcterms:created xsi:type="dcterms:W3CDTF">2018-09-10T07:41:00Z</dcterms:created>
  <dcterms:modified xsi:type="dcterms:W3CDTF">2018-09-10T07:44:00Z</dcterms:modified>
</cp:coreProperties>
</file>