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99" w:rsidRPr="00FC7F99" w:rsidRDefault="00FC7F99" w:rsidP="00FC7F99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18"/>
        </w:rPr>
      </w:pPr>
      <w:r w:rsidRPr="00FC7F99">
        <w:rPr>
          <w:rFonts w:asciiTheme="minorHAnsi" w:hAnsiTheme="minorHAnsi" w:cstheme="minorHAnsi"/>
          <w:color w:val="000000" w:themeColor="text1"/>
          <w:sz w:val="24"/>
          <w:szCs w:val="18"/>
        </w:rPr>
        <w:t xml:space="preserve">Обеспечение </w:t>
      </w:r>
      <w:proofErr w:type="gramStart"/>
      <w:r w:rsidRPr="00FC7F99">
        <w:rPr>
          <w:rFonts w:asciiTheme="minorHAnsi" w:hAnsiTheme="minorHAnsi" w:cstheme="minorHAnsi"/>
          <w:color w:val="000000" w:themeColor="text1"/>
          <w:sz w:val="24"/>
          <w:szCs w:val="18"/>
        </w:rPr>
        <w:t>контроля за</w:t>
      </w:r>
      <w:proofErr w:type="gramEnd"/>
      <w:r w:rsidRPr="00FC7F99">
        <w:rPr>
          <w:rFonts w:asciiTheme="minorHAnsi" w:hAnsiTheme="minorHAnsi" w:cstheme="minorHAnsi"/>
          <w:color w:val="000000" w:themeColor="text1"/>
          <w:sz w:val="24"/>
          <w:szCs w:val="18"/>
        </w:rPr>
        <w:t xml:space="preserve"> полнотой и своевременностью поступлений налогов в бюджетную систему Российской Федерации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 xml:space="preserve">Обеспечение </w:t>
      </w:r>
      <w:proofErr w:type="gramStart"/>
      <w:r w:rsidRPr="00FC7F99">
        <w:rPr>
          <w:rFonts w:asciiTheme="minorHAnsi" w:hAnsiTheme="minorHAnsi" w:cstheme="minorHAnsi"/>
          <w:color w:val="000000"/>
          <w:szCs w:val="15"/>
        </w:rPr>
        <w:t>контроля за</w:t>
      </w:r>
      <w:proofErr w:type="gramEnd"/>
      <w:r w:rsidRPr="00FC7F99">
        <w:rPr>
          <w:rFonts w:asciiTheme="minorHAnsi" w:hAnsiTheme="minorHAnsi" w:cstheme="minorHAnsi"/>
          <w:color w:val="000000"/>
          <w:szCs w:val="15"/>
        </w:rPr>
        <w:t xml:space="preserve"> полнотой и своевременностью поступлений налогов в бюджетную систему Российской Федерации, в том числе в региональные бюджеты и государственные внебюджетные фонды, — основная задача налоговых органов.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>Главными источниками доходов региональных бюджетов являются два налога: налог на прибыль организаций и налог на доходы физических лиц. Они обеспечивают более 75% поступлений. Кроме того, эти два налога вкупе с единым социальным налогом и страховыми взносами на обязательное пенсионное страхование обеспечивают более 55% доходов бюджетной системы Российской Федерации.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 xml:space="preserve">Поступления НДФЛ напрямую зависят от доходов населения. Поэтому крайне важно вести </w:t>
      </w:r>
      <w:proofErr w:type="gramStart"/>
      <w:r w:rsidRPr="00FC7F99">
        <w:rPr>
          <w:rFonts w:asciiTheme="minorHAnsi" w:hAnsiTheme="minorHAnsi" w:cstheme="minorHAnsi"/>
          <w:color w:val="000000"/>
          <w:szCs w:val="15"/>
        </w:rPr>
        <w:t>контроль за</w:t>
      </w:r>
      <w:proofErr w:type="gramEnd"/>
      <w:r w:rsidRPr="00FC7F99">
        <w:rPr>
          <w:rFonts w:asciiTheme="minorHAnsi" w:hAnsiTheme="minorHAnsi" w:cstheme="minorHAnsi"/>
          <w:color w:val="000000"/>
          <w:szCs w:val="15"/>
        </w:rPr>
        <w:t xml:space="preserve"> достоверностью налоговой базы с фонда оплаты труда.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>По данным Росстата, доля скрытой оплаты труда на протяжении последних нескольких лет имела тенденцию к росту. Снижение налоговой нагрузки на фонд оплаты труда не привело к существенному расширению налоговой базы и уменьшению доли скрытой оплаты труда в 2005 году. Если в 2004 году доля скрытой оплаты труда составляла 25,4%, то в 2005 году она возросла до 26,9%.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proofErr w:type="gramStart"/>
      <w:r w:rsidRPr="00FC7F99">
        <w:rPr>
          <w:rFonts w:asciiTheme="minorHAnsi" w:hAnsiTheme="minorHAnsi" w:cstheme="minorHAnsi"/>
          <w:color w:val="000000"/>
          <w:szCs w:val="15"/>
        </w:rPr>
        <w:t>Проанализировав данные о поступлениях НДФЛ за последние 5 лет можно сделать вывод, что они постоянно растут.</w:t>
      </w:r>
      <w:proofErr w:type="gramEnd"/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 xml:space="preserve">Ускорение темпа роста поступлений НДФЛ в  2006 году во многом достигнуто в результате работы комиссий по легализации теневой зарплаты. Легализация заработной платы оказывает существенное влияние и на легализацию трудовых отношений. Подтверждением тому служат данные о представлении налоговыми агентами справок о доходах физических лиц (форма 2-НДФЛ). Легализация трудовых отношений — </w:t>
      </w:r>
      <w:proofErr w:type="gramStart"/>
      <w:r w:rsidRPr="00FC7F99">
        <w:rPr>
          <w:rFonts w:asciiTheme="minorHAnsi" w:hAnsiTheme="minorHAnsi" w:cstheme="minorHAnsi"/>
          <w:color w:val="000000"/>
          <w:szCs w:val="15"/>
        </w:rPr>
        <w:t>это</w:t>
      </w:r>
      <w:proofErr w:type="gramEnd"/>
      <w:r w:rsidRPr="00FC7F99">
        <w:rPr>
          <w:rFonts w:asciiTheme="minorHAnsi" w:hAnsiTheme="minorHAnsi" w:cstheme="minorHAnsi"/>
          <w:color w:val="000000"/>
          <w:szCs w:val="15"/>
        </w:rPr>
        <w:t xml:space="preserve"> прежде всего социальные гарантии граждан: возможность заявить социальные и имущественные вычеты, получить пенсионное и социальное обеспечение. То есть эффект работы налоговых органов — это еще и социальные гарантии государства.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>В 2007 году акцент в работе комиссий по легализации теневой заработной платы был сделан на легализацию налоговой базы плательщика в целом.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 xml:space="preserve">Поступление налога на доходы физических лиц в 2006г. увеличилось на 32% по сравнению с 2005 и составило 929,8 </w:t>
      </w:r>
      <w:proofErr w:type="spellStart"/>
      <w:proofErr w:type="gramStart"/>
      <w:r w:rsidRPr="00FC7F99">
        <w:rPr>
          <w:rFonts w:asciiTheme="minorHAnsi" w:hAnsiTheme="minorHAnsi" w:cstheme="minorHAnsi"/>
          <w:color w:val="000000"/>
          <w:szCs w:val="15"/>
        </w:rPr>
        <w:t>млрд</w:t>
      </w:r>
      <w:proofErr w:type="spellEnd"/>
      <w:proofErr w:type="gramEnd"/>
      <w:r w:rsidRPr="00FC7F99">
        <w:rPr>
          <w:rFonts w:asciiTheme="minorHAnsi" w:hAnsiTheme="minorHAnsi" w:cstheme="minorHAnsi"/>
          <w:color w:val="000000"/>
          <w:szCs w:val="15"/>
        </w:rPr>
        <w:t xml:space="preserve"> руб. Наибольший рост поступлений налога на прибыль был зафиксирован во Владимирской области – на 61%, в Москве – на 57%, в Санкт-Петербурге – в 2,2 раза, в Северной Осетии – в 2,4 раза, в Волгоградской области – в 1,8 раза, Нижегородской области – в 1,9 раза, Бурятии – в 2,9 раза.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>Положительная динамика по сбору НДФЛ достигнута за счет повышения уровня заработной платы, а также в результате адресной работы с налогоплательщиками, проводимой администрацией Волгограда.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t>Положительная динамика поступления налога в 2006г. продолжается, так как растет экономика, растет прибыль и заработная плата в бюджетной сфере и реальном секторе.</w:t>
      </w:r>
    </w:p>
    <w:p w:rsidR="00FC7F99" w:rsidRPr="00FC7F99" w:rsidRDefault="00FC7F99" w:rsidP="00FC7F99">
      <w:pPr>
        <w:pStyle w:val="a3"/>
        <w:shd w:val="clear" w:color="auto" w:fill="FFFFFF"/>
        <w:jc w:val="both"/>
        <w:rPr>
          <w:rFonts w:asciiTheme="minorHAnsi" w:hAnsiTheme="minorHAnsi" w:cstheme="minorHAnsi"/>
          <w:color w:val="000000"/>
          <w:szCs w:val="15"/>
        </w:rPr>
      </w:pPr>
      <w:r w:rsidRPr="00FC7F99">
        <w:rPr>
          <w:rFonts w:asciiTheme="minorHAnsi" w:hAnsiTheme="minorHAnsi" w:cstheme="minorHAnsi"/>
          <w:color w:val="000000"/>
          <w:szCs w:val="15"/>
        </w:rPr>
        <w:lastRenderedPageBreak/>
        <w:t>В 2005 году положительная динамика по сбору НДФЛ достигнута за счет повышения уровня заработной платы, а также в результате адресной работы с налогоплательщиками.</w:t>
      </w:r>
    </w:p>
    <w:p w:rsidR="00F57735" w:rsidRPr="00FC7F99" w:rsidRDefault="00F57735" w:rsidP="00FC7F99"/>
    <w:sectPr w:rsidR="00F57735" w:rsidRPr="00FC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7F99"/>
    <w:rsid w:val="00F57735"/>
    <w:rsid w:val="00FC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7F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7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0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360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137">
          <w:marLeft w:val="107"/>
          <w:marRight w:val="107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Зенченко </dc:creator>
  <cp:keywords/>
  <dc:description/>
  <cp:lastModifiedBy>Зенченко </cp:lastModifiedBy>
  <cp:revision>2</cp:revision>
  <dcterms:created xsi:type="dcterms:W3CDTF">2018-09-10T07:40:00Z</dcterms:created>
  <dcterms:modified xsi:type="dcterms:W3CDTF">2018-09-10T07:46:00Z</dcterms:modified>
</cp:coreProperties>
</file>