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367" w:rsidRDefault="00AC1367" w:rsidP="00565844">
      <w:pPr>
        <w:pStyle w:val="a3"/>
        <w:jc w:val="center"/>
        <w:rPr>
          <w:rFonts w:ascii="Times New Roman" w:hAnsi="Times New Roman" w:cs="Times New Roman"/>
          <w:b/>
          <w:sz w:val="28"/>
          <w:szCs w:val="28"/>
        </w:rPr>
      </w:pPr>
      <w:r w:rsidRPr="00AC1367">
        <w:rPr>
          <w:rFonts w:ascii="Times New Roman" w:hAnsi="Times New Roman" w:cs="Times New Roman"/>
          <w:b/>
          <w:sz w:val="28"/>
          <w:szCs w:val="28"/>
        </w:rPr>
        <w:t>ПРИНЦИПЫ НАЛОГООБЛАЖЕНИЯ ПРИБЫЛИ КОММЕРЧЕСКИХ БАНКОВ В РОССИИ И ЗА РУБЕЖОМ</w:t>
      </w:r>
    </w:p>
    <w:p w:rsidR="00AC1367" w:rsidRPr="00AC1367" w:rsidRDefault="00AC1367" w:rsidP="00AC1367">
      <w:pPr>
        <w:pStyle w:val="a3"/>
        <w:jc w:val="center"/>
        <w:rPr>
          <w:rFonts w:ascii="Times New Roman" w:hAnsi="Times New Roman" w:cs="Times New Roman"/>
          <w:b/>
          <w:sz w:val="28"/>
          <w:szCs w:val="28"/>
        </w:rPr>
      </w:pPr>
    </w:p>
    <w:p w:rsidR="00BC5981" w:rsidRDefault="00AC1367" w:rsidP="00AC1367">
      <w:pPr>
        <w:pStyle w:val="a3"/>
        <w:jc w:val="both"/>
        <w:rPr>
          <w:rFonts w:ascii="Times New Roman" w:hAnsi="Times New Roman" w:cs="Times New Roman"/>
          <w:sz w:val="28"/>
          <w:szCs w:val="28"/>
        </w:rPr>
      </w:pPr>
      <w:r w:rsidRPr="00AC1367">
        <w:rPr>
          <w:rFonts w:ascii="Times New Roman" w:hAnsi="Times New Roman" w:cs="Times New Roman"/>
          <w:b/>
          <w:sz w:val="28"/>
          <w:szCs w:val="28"/>
        </w:rPr>
        <w:tab/>
        <w:t>Аннотация.</w:t>
      </w:r>
      <w:r w:rsidRPr="00AC1367">
        <w:rPr>
          <w:rFonts w:ascii="Times New Roman" w:hAnsi="Times New Roman" w:cs="Times New Roman"/>
          <w:sz w:val="28"/>
          <w:szCs w:val="28"/>
        </w:rPr>
        <w:t xml:space="preserve"> Коммерческие банки в финансовой системе - необходимая часть обеспечения своевременных и правильных налоговых платежей в государственный бюджет, это влияет на экономику в целом. В данной статье рассматривается налогообложение прибыли коммерческих банков в развитых странах мира, а также в России, проводится сравнительный анализ практики налогообложения прибыли в России, США, Великобритании, Германии и Франции. Показана характеристика, применяемая к финансовым и кредитным учреждениям типов налогов и налоговых ставок и анализируются налоговые льготы и предложенные пути совершенствования налогообложения в коммерческих банках в РФ и зарубежных странах.  На основе исследований были сделаны выводы относительно низкой налоговой нагрузки банков в Российской Федерации и высокой дифференциации налоговых ставок в Соединенных Штатах.</w:t>
      </w:r>
    </w:p>
    <w:p w:rsid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r>
      <w:r w:rsidRPr="00AC1367">
        <w:rPr>
          <w:rFonts w:ascii="Times New Roman" w:hAnsi="Times New Roman" w:cs="Times New Roman"/>
          <w:b/>
          <w:sz w:val="28"/>
          <w:szCs w:val="28"/>
        </w:rPr>
        <w:t>Ключевые слова:</w:t>
      </w:r>
      <w:r w:rsidRPr="00AC1367">
        <w:rPr>
          <w:rFonts w:ascii="Times New Roman" w:hAnsi="Times New Roman" w:cs="Times New Roman"/>
          <w:sz w:val="28"/>
          <w:szCs w:val="28"/>
        </w:rPr>
        <w:t xml:space="preserve"> налогообложение банков за рубежом, налоговые льготы, налоговая система, коммерческие банки, налоги, налог на доходы банков</w:t>
      </w:r>
    </w:p>
    <w:p w:rsidR="00AC1367" w:rsidRPr="00AC1367" w:rsidRDefault="00AC1367" w:rsidP="00AC1367">
      <w:pPr>
        <w:pStyle w:val="a3"/>
        <w:jc w:val="right"/>
        <w:rPr>
          <w:rFonts w:ascii="Times New Roman" w:hAnsi="Times New Roman" w:cs="Times New Roman"/>
          <w:b/>
          <w:sz w:val="28"/>
          <w:szCs w:val="28"/>
        </w:rPr>
      </w:pPr>
    </w:p>
    <w:p w:rsidR="00AC1367" w:rsidRPr="00AC1367" w:rsidRDefault="00AC1367" w:rsidP="00AC1367">
      <w:pPr>
        <w:pStyle w:val="a3"/>
        <w:jc w:val="center"/>
        <w:rPr>
          <w:rFonts w:ascii="Times New Roman" w:hAnsi="Times New Roman" w:cs="Times New Roman"/>
          <w:b/>
          <w:sz w:val="28"/>
          <w:szCs w:val="28"/>
          <w:lang w:val="en-US"/>
        </w:rPr>
      </w:pPr>
    </w:p>
    <w:p w:rsidR="00AC1367" w:rsidRPr="00AC1367" w:rsidRDefault="00AC1367" w:rsidP="00AC1367">
      <w:pPr>
        <w:pStyle w:val="a3"/>
        <w:jc w:val="center"/>
        <w:rPr>
          <w:rFonts w:ascii="Times New Roman" w:hAnsi="Times New Roman" w:cs="Times New Roman"/>
          <w:b/>
          <w:sz w:val="28"/>
          <w:szCs w:val="28"/>
          <w:lang w:val="en-US"/>
        </w:rPr>
      </w:pPr>
      <w:r w:rsidRPr="00AC1367">
        <w:rPr>
          <w:rFonts w:ascii="Times New Roman" w:hAnsi="Times New Roman" w:cs="Times New Roman"/>
          <w:b/>
          <w:sz w:val="28"/>
          <w:szCs w:val="28"/>
          <w:lang w:val="en-US"/>
        </w:rPr>
        <w:t>PRINCIPLES OF PROFIT TAXATION OF COMMERCIAL BANKS IN RUSSIA AND ADROAD</w:t>
      </w:r>
    </w:p>
    <w:p w:rsidR="00BC5981" w:rsidRPr="00BC5981" w:rsidRDefault="00AC1367" w:rsidP="00AC1367">
      <w:pPr>
        <w:pStyle w:val="a3"/>
        <w:jc w:val="both"/>
        <w:rPr>
          <w:rFonts w:ascii="Times New Roman" w:hAnsi="Times New Roman" w:cs="Times New Roman"/>
          <w:sz w:val="28"/>
          <w:szCs w:val="28"/>
          <w:lang w:val="en-US"/>
        </w:rPr>
      </w:pPr>
      <w:r w:rsidRPr="00AC1367">
        <w:rPr>
          <w:rFonts w:ascii="Times New Roman" w:hAnsi="Times New Roman" w:cs="Times New Roman"/>
          <w:sz w:val="28"/>
          <w:szCs w:val="28"/>
          <w:lang w:val="en-US"/>
        </w:rPr>
        <w:tab/>
      </w:r>
      <w:r w:rsidRPr="00AC1367">
        <w:rPr>
          <w:rFonts w:ascii="Times New Roman" w:hAnsi="Times New Roman" w:cs="Times New Roman"/>
          <w:b/>
          <w:sz w:val="28"/>
          <w:szCs w:val="28"/>
          <w:lang w:val="en-US"/>
        </w:rPr>
        <w:t>Abstract.</w:t>
      </w:r>
      <w:r w:rsidR="00BC5981" w:rsidRPr="00BC5981">
        <w:rPr>
          <w:lang w:val="en-US"/>
        </w:rPr>
        <w:t xml:space="preserve"> </w:t>
      </w:r>
      <w:r w:rsidR="00BC5981" w:rsidRPr="00BC5981">
        <w:rPr>
          <w:rFonts w:ascii="Times New Roman" w:hAnsi="Times New Roman" w:cs="Times New Roman"/>
          <w:sz w:val="28"/>
          <w:szCs w:val="28"/>
          <w:lang w:val="en-US"/>
        </w:rPr>
        <w:t>Commercial banks in the financial system are a necessary part of ensuring timely and correct tax payments to the state budget, this affects the economy as a whole. This article discusses the taxation of profits of commercial banks in the developed countries of the world, as well as in Russia, a comparative analysis of the practice of taxation of profits in Russia, the United States, the UK, Germany and France. The characteristic applied to financial and credit institutions of types of taxes and tax rates is shown and tax privileges and the offered ways of improvement of the taxation in commercial banks in the Russian Federation and foreign countries are analyzed.  On the basis of the research, conclusions were made regarding the low tax burden of banks in the Russian Federation and the high differentiation of tax rates in the United States.</w:t>
      </w:r>
    </w:p>
    <w:p w:rsidR="00AC1367" w:rsidRPr="00BC5981" w:rsidRDefault="00AC1367" w:rsidP="00AC1367">
      <w:pPr>
        <w:pStyle w:val="a3"/>
        <w:jc w:val="both"/>
        <w:rPr>
          <w:rFonts w:ascii="Times New Roman" w:hAnsi="Times New Roman" w:cs="Times New Roman"/>
          <w:sz w:val="28"/>
          <w:szCs w:val="28"/>
          <w:lang w:val="en-US"/>
        </w:rPr>
      </w:pPr>
      <w:r w:rsidRPr="00AC1367">
        <w:rPr>
          <w:rFonts w:ascii="Times New Roman" w:hAnsi="Times New Roman" w:cs="Times New Roman"/>
          <w:sz w:val="28"/>
          <w:szCs w:val="28"/>
          <w:lang w:val="en-US"/>
        </w:rPr>
        <w:tab/>
      </w:r>
      <w:r w:rsidRPr="00AC1367">
        <w:rPr>
          <w:rFonts w:ascii="Times New Roman" w:hAnsi="Times New Roman" w:cs="Times New Roman"/>
          <w:b/>
          <w:sz w:val="28"/>
          <w:szCs w:val="28"/>
          <w:lang w:val="en-US"/>
        </w:rPr>
        <w:t>Key words:</w:t>
      </w:r>
      <w:r w:rsidRPr="00AC1367">
        <w:rPr>
          <w:rFonts w:ascii="Times New Roman" w:hAnsi="Times New Roman" w:cs="Times New Roman"/>
          <w:sz w:val="28"/>
          <w:szCs w:val="28"/>
          <w:lang w:val="en-US"/>
        </w:rPr>
        <w:t xml:space="preserve"> taxation of banks abroad, tax incentives, tax system, commercial banks, taxes, tax on income of banks.</w:t>
      </w:r>
    </w:p>
    <w:p w:rsidR="00AC1367" w:rsidRPr="00AC1367" w:rsidRDefault="00AC1367" w:rsidP="00AC1367">
      <w:pPr>
        <w:pStyle w:val="a3"/>
        <w:jc w:val="both"/>
        <w:rPr>
          <w:rFonts w:ascii="Times New Roman" w:hAnsi="Times New Roman" w:cs="Times New Roman"/>
          <w:sz w:val="28"/>
          <w:szCs w:val="28"/>
          <w:lang w:val="en-US"/>
        </w:rPr>
      </w:pPr>
    </w:p>
    <w:p w:rsidR="00AC1367" w:rsidRPr="00AC1367" w:rsidRDefault="00AC1367" w:rsidP="00AC1367">
      <w:pPr>
        <w:pStyle w:val="a3"/>
        <w:ind w:firstLine="708"/>
        <w:jc w:val="both"/>
        <w:rPr>
          <w:rFonts w:ascii="Times New Roman" w:hAnsi="Times New Roman" w:cs="Times New Roman"/>
          <w:sz w:val="28"/>
          <w:szCs w:val="28"/>
        </w:rPr>
      </w:pPr>
      <w:r w:rsidRPr="00BC5981">
        <w:rPr>
          <w:rFonts w:ascii="Times New Roman" w:hAnsi="Times New Roman" w:cs="Times New Roman"/>
          <w:color w:val="000000" w:themeColor="text1"/>
          <w:sz w:val="28"/>
          <w:szCs w:val="28"/>
        </w:rPr>
        <w:t xml:space="preserve">Роль коммерческих банков состоит  в том, чтобы </w:t>
      </w:r>
      <w:r w:rsidR="00BC5981" w:rsidRPr="00BC5981">
        <w:rPr>
          <w:rFonts w:ascii="Times New Roman" w:hAnsi="Times New Roman" w:cs="Times New Roman"/>
          <w:color w:val="000000" w:themeColor="text1"/>
          <w:sz w:val="28"/>
          <w:szCs w:val="28"/>
        </w:rPr>
        <w:t>привле</w:t>
      </w:r>
      <w:r w:rsidR="00BC5981">
        <w:rPr>
          <w:rFonts w:ascii="Times New Roman" w:hAnsi="Times New Roman" w:cs="Times New Roman"/>
          <w:color w:val="000000" w:themeColor="text1"/>
          <w:sz w:val="28"/>
          <w:szCs w:val="28"/>
        </w:rPr>
        <w:t>чь</w:t>
      </w:r>
      <w:r w:rsidR="00BC5981" w:rsidRPr="00BC5981">
        <w:rPr>
          <w:rFonts w:ascii="Times New Roman" w:hAnsi="Times New Roman" w:cs="Times New Roman"/>
          <w:color w:val="000000" w:themeColor="text1"/>
          <w:sz w:val="28"/>
          <w:szCs w:val="28"/>
        </w:rPr>
        <w:t xml:space="preserve"> капиталы, сбережения населения и другие свободные денежные средства, высвобождающиеся в процессе хозяйственной деятельности, и предоставляют их во временное пользование другим экономическим агентам, которые нуждаются в дополнительном капитале.</w:t>
      </w:r>
      <w:r w:rsidR="00BC5981" w:rsidRPr="00BC5981">
        <w:rPr>
          <w:rFonts w:ascii="Arial" w:hAnsi="Arial" w:cs="Arial"/>
          <w:color w:val="000000" w:themeColor="text1"/>
          <w:sz w:val="21"/>
          <w:szCs w:val="21"/>
        </w:rPr>
        <w:t xml:space="preserve"> </w:t>
      </w:r>
      <w:r w:rsidRPr="00AC1367">
        <w:rPr>
          <w:rFonts w:ascii="Times New Roman" w:hAnsi="Times New Roman" w:cs="Times New Roman"/>
          <w:sz w:val="28"/>
          <w:szCs w:val="28"/>
        </w:rPr>
        <w:t xml:space="preserve">Российская экономика испытывает влияние различных положительных и отрицательных факторов. Одним из таких факторов, оказывающих «влияние на предпринимательскую деятельность, </w:t>
      </w:r>
      <w:r w:rsidRPr="00AC1367">
        <w:rPr>
          <w:rFonts w:ascii="Times New Roman" w:hAnsi="Times New Roman" w:cs="Times New Roman"/>
          <w:sz w:val="28"/>
          <w:szCs w:val="28"/>
        </w:rPr>
        <w:lastRenderedPageBreak/>
        <w:t>является текущая налоговая политика государства». [</w:t>
      </w:r>
      <w:bookmarkStart w:id="0" w:name="_GoBack"/>
      <w:bookmarkEnd w:id="0"/>
      <w:r w:rsidRPr="00AC1367">
        <w:rPr>
          <w:rFonts w:ascii="Times New Roman" w:hAnsi="Times New Roman" w:cs="Times New Roman"/>
          <w:sz w:val="28"/>
          <w:szCs w:val="28"/>
        </w:rPr>
        <w:t>1] Поэтому в современных условиях развития российской экономики банковский сектор и его налогообложение являются важной частью национальных финансов.[2]</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«Налоги не являются основным инструментом в развитии коммерческих банков, однако оптимизация налогов будет способствовать укреплению других инструментов, которые влияют на развитие этого сектора экономики. Финансовая деятельность государства в области сбора налогов и в улучшении инвестиционного климата будет эффективной только в случае создания оптимального механизма налогового администрирования, что предполагает, с одной стороны, возможность пополнения государственного бюджета, а с другой - отсутствие причин уклонения от уплаты налогов».[3]</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r>
      <w:r w:rsidR="00393E9F">
        <w:rPr>
          <w:rFonts w:ascii="Times New Roman" w:hAnsi="Times New Roman" w:cs="Times New Roman"/>
          <w:sz w:val="28"/>
          <w:szCs w:val="28"/>
        </w:rPr>
        <w:t>Мне бы хотелось</w:t>
      </w:r>
      <w:r w:rsidRPr="00AC1367">
        <w:rPr>
          <w:rFonts w:ascii="Times New Roman" w:hAnsi="Times New Roman" w:cs="Times New Roman"/>
          <w:sz w:val="28"/>
          <w:szCs w:val="28"/>
        </w:rPr>
        <w:t xml:space="preserve"> провести сравнительный анализ моделей налогообложения в коммерческих банках России и развитых стран. Благодаря данному анализу можно выявить недостатки и спланировать пути улучшения налогообложения, т. к.  иностранный опыт поможет избежать ошибки и  ускорить процесс цивилизованных рыночных реформ в России.[1]</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 xml:space="preserve"> Особенности налогообложения финансово-кредитных организаций исследовались рядом </w:t>
      </w:r>
      <w:r w:rsidRPr="00393E9F">
        <w:rPr>
          <w:rFonts w:ascii="Times New Roman" w:hAnsi="Times New Roman" w:cs="Times New Roman"/>
          <w:sz w:val="28"/>
          <w:szCs w:val="28"/>
        </w:rPr>
        <w:t>зарубежных ученых</w:t>
      </w:r>
      <w:r w:rsidR="00393E9F">
        <w:rPr>
          <w:rFonts w:ascii="Times New Roman" w:hAnsi="Times New Roman" w:cs="Times New Roman"/>
          <w:sz w:val="28"/>
          <w:szCs w:val="28"/>
        </w:rPr>
        <w:t xml:space="preserve">, одними из которых стали работы </w:t>
      </w:r>
      <w:proofErr w:type="spellStart"/>
      <w:r w:rsidRPr="00AC1367">
        <w:rPr>
          <w:rFonts w:ascii="Times New Roman" w:hAnsi="Times New Roman" w:cs="Times New Roman"/>
          <w:sz w:val="28"/>
          <w:szCs w:val="28"/>
        </w:rPr>
        <w:t>Масюкевич</w:t>
      </w:r>
      <w:r w:rsidR="00393E9F">
        <w:rPr>
          <w:rFonts w:ascii="Times New Roman" w:hAnsi="Times New Roman" w:cs="Times New Roman"/>
          <w:sz w:val="28"/>
          <w:szCs w:val="28"/>
        </w:rPr>
        <w:t>а</w:t>
      </w:r>
      <w:proofErr w:type="spellEnd"/>
      <w:r w:rsidRPr="00AC1367">
        <w:rPr>
          <w:rFonts w:ascii="Times New Roman" w:hAnsi="Times New Roman" w:cs="Times New Roman"/>
          <w:sz w:val="28"/>
          <w:szCs w:val="28"/>
        </w:rPr>
        <w:t xml:space="preserve"> и Дек</w:t>
      </w:r>
      <w:r w:rsidR="00393E9F">
        <w:rPr>
          <w:rFonts w:ascii="Times New Roman" w:hAnsi="Times New Roman" w:cs="Times New Roman"/>
          <w:sz w:val="28"/>
          <w:szCs w:val="28"/>
        </w:rPr>
        <w:t>а</w:t>
      </w:r>
      <w:r w:rsidRPr="00AC1367">
        <w:rPr>
          <w:rFonts w:ascii="Times New Roman" w:hAnsi="Times New Roman" w:cs="Times New Roman"/>
          <w:sz w:val="28"/>
          <w:szCs w:val="28"/>
        </w:rPr>
        <w:t xml:space="preserve">. Вопросы реализации налоговой политики и совершенствования налоговой системы финансово-кредитных организаций были рассмотрены в работах </w:t>
      </w:r>
      <w:proofErr w:type="spellStart"/>
      <w:r w:rsidRPr="00AC1367">
        <w:rPr>
          <w:rFonts w:ascii="Times New Roman" w:hAnsi="Times New Roman" w:cs="Times New Roman"/>
          <w:sz w:val="28"/>
          <w:szCs w:val="28"/>
        </w:rPr>
        <w:t>Накады</w:t>
      </w:r>
      <w:proofErr w:type="spellEnd"/>
      <w:r w:rsidRPr="00AC1367">
        <w:rPr>
          <w:rFonts w:ascii="Times New Roman" w:hAnsi="Times New Roman" w:cs="Times New Roman"/>
          <w:sz w:val="28"/>
          <w:szCs w:val="28"/>
        </w:rPr>
        <w:t xml:space="preserve"> (2010).</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В системе налогообложения РФ коммерческие банки, как и другие хозяйствующие субъекты, должны платить следующие налоги: налог на прибыль; НДС; налог на имущество; земельный налог; транспортный налог; налог на операции (ценные бумаги) [4]</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Страны с развитой рыночной экономикой в том числе и Россия имеют определенные особенности формирования налогооблагаемой базы налога на прибыль, и существует практика предоставления налоговых льгот для финансовых учреждений, в том числе коммерческих банков.</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 xml:space="preserve">Что касается процентной ставки по налогу на прибыль коммерческих банков в России, то ее изменения на 2008-2016 годы показаны на рисунке 1.  </w:t>
      </w:r>
    </w:p>
    <w:p w:rsidR="00AC1367" w:rsidRDefault="00AC1367" w:rsidP="00AC1367">
      <w:pPr>
        <w:pStyle w:val="a3"/>
        <w:ind w:firstLine="708"/>
        <w:jc w:val="both"/>
        <w:rPr>
          <w:rFonts w:ascii="Times New Roman" w:hAnsi="Times New Roman" w:cs="Times New Roman"/>
          <w:sz w:val="28"/>
          <w:szCs w:val="28"/>
        </w:rPr>
      </w:pPr>
      <w:r>
        <w:rPr>
          <w:noProof/>
          <w:lang w:eastAsia="ru-RU"/>
        </w:rPr>
        <w:drawing>
          <wp:anchor distT="0" distB="0" distL="114300" distR="114300" simplePos="0" relativeHeight="251659264" behindDoc="0" locked="0" layoutInCell="1" allowOverlap="1" wp14:anchorId="28BDADBC" wp14:editId="0FBECE5B">
            <wp:simplePos x="0" y="0"/>
            <wp:positionH relativeFrom="column">
              <wp:posOffset>-3810</wp:posOffset>
            </wp:positionH>
            <wp:positionV relativeFrom="paragraph">
              <wp:posOffset>415290</wp:posOffset>
            </wp:positionV>
            <wp:extent cx="3829050" cy="1809750"/>
            <wp:effectExtent l="0" t="0" r="0" b="0"/>
            <wp:wrapTopAndBottom/>
            <wp:docPr id="1" name="Графический объект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lum/>
                      <a:alphaModFix/>
                    </a:blip>
                    <a:srcRect/>
                    <a:stretch>
                      <a:fillRect/>
                    </a:stretch>
                  </pic:blipFill>
                  <pic:spPr>
                    <a:xfrm>
                      <a:off x="0" y="0"/>
                      <a:ext cx="3829050" cy="1809750"/>
                    </a:xfrm>
                    <a:prstGeom prst="rect">
                      <a:avLst/>
                    </a:prstGeom>
                  </pic:spPr>
                </pic:pic>
              </a:graphicData>
            </a:graphic>
            <wp14:sizeRelH relativeFrom="margin">
              <wp14:pctWidth>0</wp14:pctWidth>
            </wp14:sizeRelH>
            <wp14:sizeRelV relativeFrom="margin">
              <wp14:pctHeight>0</wp14:pctHeight>
            </wp14:sizeRelV>
          </wp:anchor>
        </w:drawing>
      </w:r>
      <w:r w:rsidRPr="00AC1367">
        <w:rPr>
          <w:rFonts w:ascii="Times New Roman" w:hAnsi="Times New Roman" w:cs="Times New Roman"/>
          <w:b/>
          <w:sz w:val="28"/>
          <w:szCs w:val="28"/>
        </w:rPr>
        <w:t>Рисунок 1:</w:t>
      </w:r>
      <w:r w:rsidRPr="00AC1367">
        <w:rPr>
          <w:rFonts w:ascii="Times New Roman" w:hAnsi="Times New Roman" w:cs="Times New Roman"/>
          <w:sz w:val="28"/>
          <w:szCs w:val="28"/>
        </w:rPr>
        <w:t xml:space="preserve"> Размер налоговой ставки по налогу на прибыль в РФ за 2008-2016 гг.</w:t>
      </w:r>
      <w:r w:rsidRPr="00AC1367">
        <w:rPr>
          <w:noProof/>
          <w:lang w:eastAsia="ru-RU"/>
        </w:rPr>
        <w:t xml:space="preserve"> </w:t>
      </w:r>
    </w:p>
    <w:p w:rsidR="00AC1367" w:rsidRPr="00AC1367" w:rsidRDefault="00AC1367" w:rsidP="00AC1367">
      <w:pPr>
        <w:pStyle w:val="a3"/>
        <w:ind w:firstLine="708"/>
        <w:jc w:val="both"/>
        <w:rPr>
          <w:rFonts w:ascii="Times New Roman" w:hAnsi="Times New Roman" w:cs="Times New Roman"/>
          <w:sz w:val="28"/>
          <w:szCs w:val="28"/>
        </w:rPr>
      </w:pPr>
      <w:r w:rsidRPr="00AC1367">
        <w:rPr>
          <w:rFonts w:ascii="Times New Roman" w:hAnsi="Times New Roman" w:cs="Times New Roman"/>
          <w:sz w:val="28"/>
          <w:szCs w:val="28"/>
        </w:rPr>
        <w:t xml:space="preserve"> С начала 2002-2008 годов ставка налога на прибыль составляла 24%; каждый год доля поступлений в федеральный, региональный и местные </w:t>
      </w:r>
      <w:r w:rsidRPr="00AC1367">
        <w:rPr>
          <w:rFonts w:ascii="Times New Roman" w:hAnsi="Times New Roman" w:cs="Times New Roman"/>
          <w:sz w:val="28"/>
          <w:szCs w:val="28"/>
        </w:rPr>
        <w:lastRenderedPageBreak/>
        <w:t>бюджеты была различной. В период с 2009 года и по настоящее время ставка налога на прибыль снизилась до 20%. «Объектом налогообложения является доход, уменьшенный до суммы расходов, которые определяются в соответствии с гл. 25 Налогового кодекса Российской Федерации». [4]</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В Соединенных Штатах налогообложение банков осуществляется общими правилами корпоративного налогообложения. Базовая ставка налога на прибыль корпораций в США составляет 35%, но конечная ставка зависит от дохода, полученного в течение года, и составляет от 15% до 39% (статистические данные налоговой отчетности, 2016 г.). [5]</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Подробные текущие ставки налога на прибыль в Соединенных Штатах представлены в таблице 1.</w:t>
      </w:r>
    </w:p>
    <w:p w:rsidR="00AC1367" w:rsidRDefault="00AC1367" w:rsidP="00AC1367">
      <w:pPr>
        <w:pStyle w:val="a3"/>
        <w:ind w:firstLine="708"/>
        <w:jc w:val="both"/>
        <w:rPr>
          <w:rFonts w:ascii="Times New Roman" w:hAnsi="Times New Roman" w:cs="Times New Roman"/>
          <w:sz w:val="28"/>
          <w:szCs w:val="28"/>
        </w:rPr>
      </w:pPr>
      <w:r w:rsidRPr="00AC1367">
        <w:rPr>
          <w:rFonts w:ascii="Times New Roman" w:hAnsi="Times New Roman" w:cs="Times New Roman"/>
          <w:b/>
          <w:sz w:val="28"/>
          <w:szCs w:val="28"/>
        </w:rPr>
        <w:t>Таблица 1:</w:t>
      </w:r>
      <w:r w:rsidRPr="00AC1367">
        <w:rPr>
          <w:rFonts w:ascii="Times New Roman" w:hAnsi="Times New Roman" w:cs="Times New Roman"/>
          <w:sz w:val="28"/>
          <w:szCs w:val="28"/>
        </w:rPr>
        <w:t xml:space="preserve"> Ставки налога н</w:t>
      </w:r>
      <w:r>
        <w:rPr>
          <w:rFonts w:ascii="Times New Roman" w:hAnsi="Times New Roman" w:cs="Times New Roman"/>
          <w:sz w:val="28"/>
          <w:szCs w:val="28"/>
        </w:rPr>
        <w:t>а прибыль в Соединенных Штатах.</w:t>
      </w:r>
    </w:p>
    <w:tbl>
      <w:tblPr>
        <w:tblW w:w="9625" w:type="dxa"/>
        <w:tblInd w:w="9" w:type="dxa"/>
        <w:tblLayout w:type="fixed"/>
        <w:tblCellMar>
          <w:left w:w="10" w:type="dxa"/>
          <w:right w:w="10" w:type="dxa"/>
        </w:tblCellMar>
        <w:tblLook w:val="0000" w:firstRow="0" w:lastRow="0" w:firstColumn="0" w:lastColumn="0" w:noHBand="0" w:noVBand="0"/>
      </w:tblPr>
      <w:tblGrid>
        <w:gridCol w:w="3090"/>
        <w:gridCol w:w="3075"/>
        <w:gridCol w:w="3460"/>
      </w:tblGrid>
      <w:tr w:rsidR="00AC1367" w:rsidTr="00FE5828">
        <w:tc>
          <w:tcPr>
            <w:tcW w:w="30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Налоговая база нарастающим итогом с начала года, долл. США</w:t>
            </w:r>
          </w:p>
        </w:tc>
        <w:tc>
          <w:tcPr>
            <w:tcW w:w="30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center"/>
              <w:rPr>
                <w:rFonts w:ascii="Times New Roman" w:hAnsi="Times New Roman" w:cs="Times New Roman"/>
                <w:b/>
                <w:sz w:val="20"/>
                <w:szCs w:val="20"/>
              </w:rPr>
            </w:pPr>
          </w:p>
          <w:p w:rsidR="00AC1367" w:rsidRDefault="00AC1367" w:rsidP="00BF2CF4">
            <w:pPr>
              <w:pStyle w:val="Standard"/>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Ставка</w:t>
            </w:r>
          </w:p>
        </w:tc>
        <w:tc>
          <w:tcPr>
            <w:tcW w:w="34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both"/>
              <w:rPr>
                <w:sz w:val="20"/>
                <w:szCs w:val="20"/>
              </w:rPr>
            </w:pPr>
            <w:r>
              <w:rPr>
                <w:rFonts w:ascii="Times New Roman" w:hAnsi="Times New Roman" w:cs="Times New Roman"/>
                <w:b/>
                <w:sz w:val="20"/>
                <w:szCs w:val="20"/>
              </w:rPr>
              <w:t xml:space="preserve">Необлагаемая сумма, долл. </w:t>
            </w:r>
            <w:r>
              <w:rPr>
                <w:rFonts w:ascii="Times New Roman" w:hAnsi="Times New Roman" w:cs="Times New Roman"/>
                <w:b/>
                <w:sz w:val="20"/>
                <w:szCs w:val="20"/>
                <w:lang w:val="en-US"/>
              </w:rPr>
              <w:t>США</w:t>
            </w:r>
          </w:p>
        </w:tc>
      </w:tr>
      <w:tr w:rsidR="00AC1367" w:rsidTr="00FE5828">
        <w:tc>
          <w:tcPr>
            <w:tcW w:w="30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both"/>
              <w:rPr>
                <w:rFonts w:ascii="Times New Roman" w:hAnsi="Times New Roman" w:cs="Times New Roman"/>
                <w:sz w:val="20"/>
                <w:szCs w:val="20"/>
              </w:rPr>
            </w:pPr>
            <w:r>
              <w:rPr>
                <w:rFonts w:ascii="Times New Roman" w:hAnsi="Times New Roman" w:cs="Times New Roman"/>
                <w:sz w:val="20"/>
                <w:szCs w:val="20"/>
              </w:rPr>
              <w:t>До 50000</w:t>
            </w:r>
          </w:p>
        </w:tc>
        <w:tc>
          <w:tcPr>
            <w:tcW w:w="30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34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r>
      <w:tr w:rsidR="00AC1367" w:rsidTr="00FE5828">
        <w:tc>
          <w:tcPr>
            <w:tcW w:w="30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both"/>
              <w:rPr>
                <w:rFonts w:ascii="Times New Roman" w:hAnsi="Times New Roman" w:cs="Times New Roman"/>
                <w:sz w:val="20"/>
                <w:szCs w:val="20"/>
              </w:rPr>
            </w:pPr>
            <w:r>
              <w:rPr>
                <w:rFonts w:ascii="Times New Roman" w:hAnsi="Times New Roman" w:cs="Times New Roman"/>
                <w:sz w:val="20"/>
                <w:szCs w:val="20"/>
              </w:rPr>
              <w:t>От 50000 до 75000</w:t>
            </w:r>
          </w:p>
        </w:tc>
        <w:tc>
          <w:tcPr>
            <w:tcW w:w="30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7500 долл. США+25%</w:t>
            </w:r>
          </w:p>
        </w:tc>
        <w:tc>
          <w:tcPr>
            <w:tcW w:w="34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50000</w:t>
            </w:r>
          </w:p>
        </w:tc>
      </w:tr>
      <w:tr w:rsidR="00AC1367" w:rsidTr="00FE5828">
        <w:tc>
          <w:tcPr>
            <w:tcW w:w="30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both"/>
              <w:rPr>
                <w:rFonts w:ascii="Times New Roman" w:hAnsi="Times New Roman" w:cs="Times New Roman"/>
                <w:sz w:val="20"/>
                <w:szCs w:val="20"/>
              </w:rPr>
            </w:pPr>
            <w:r>
              <w:rPr>
                <w:rFonts w:ascii="Times New Roman" w:hAnsi="Times New Roman" w:cs="Times New Roman"/>
                <w:sz w:val="20"/>
                <w:szCs w:val="20"/>
              </w:rPr>
              <w:t>От 75000 до 100000</w:t>
            </w:r>
          </w:p>
        </w:tc>
        <w:tc>
          <w:tcPr>
            <w:tcW w:w="30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13750 долл. США+34%</w:t>
            </w:r>
          </w:p>
        </w:tc>
        <w:tc>
          <w:tcPr>
            <w:tcW w:w="34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75000</w:t>
            </w:r>
          </w:p>
        </w:tc>
      </w:tr>
      <w:tr w:rsidR="00AC1367" w:rsidTr="00FE5828">
        <w:tc>
          <w:tcPr>
            <w:tcW w:w="30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both"/>
              <w:rPr>
                <w:rFonts w:ascii="Times New Roman" w:hAnsi="Times New Roman" w:cs="Times New Roman"/>
                <w:sz w:val="20"/>
                <w:szCs w:val="20"/>
              </w:rPr>
            </w:pPr>
            <w:r>
              <w:rPr>
                <w:rFonts w:ascii="Times New Roman" w:hAnsi="Times New Roman" w:cs="Times New Roman"/>
                <w:sz w:val="20"/>
                <w:szCs w:val="20"/>
              </w:rPr>
              <w:t>От 100000 до 335000</w:t>
            </w:r>
          </w:p>
        </w:tc>
        <w:tc>
          <w:tcPr>
            <w:tcW w:w="30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22250 долл. США+39%</w:t>
            </w:r>
          </w:p>
        </w:tc>
        <w:tc>
          <w:tcPr>
            <w:tcW w:w="34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100000</w:t>
            </w:r>
          </w:p>
        </w:tc>
      </w:tr>
      <w:tr w:rsidR="00AC1367" w:rsidTr="00FE5828">
        <w:tc>
          <w:tcPr>
            <w:tcW w:w="30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both"/>
              <w:rPr>
                <w:rFonts w:ascii="Times New Roman" w:hAnsi="Times New Roman" w:cs="Times New Roman"/>
                <w:sz w:val="20"/>
                <w:szCs w:val="20"/>
              </w:rPr>
            </w:pPr>
            <w:r>
              <w:rPr>
                <w:rFonts w:ascii="Times New Roman" w:hAnsi="Times New Roman" w:cs="Times New Roman"/>
                <w:sz w:val="20"/>
                <w:szCs w:val="20"/>
              </w:rPr>
              <w:t>От 335000 до 10000000</w:t>
            </w:r>
          </w:p>
        </w:tc>
        <w:tc>
          <w:tcPr>
            <w:tcW w:w="30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113900 долл. США+34%</w:t>
            </w:r>
          </w:p>
        </w:tc>
        <w:tc>
          <w:tcPr>
            <w:tcW w:w="34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335000</w:t>
            </w:r>
          </w:p>
        </w:tc>
      </w:tr>
      <w:tr w:rsidR="00AC1367" w:rsidTr="00FE5828">
        <w:tc>
          <w:tcPr>
            <w:tcW w:w="30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both"/>
              <w:rPr>
                <w:rFonts w:ascii="Times New Roman" w:hAnsi="Times New Roman" w:cs="Times New Roman"/>
                <w:sz w:val="20"/>
                <w:szCs w:val="20"/>
              </w:rPr>
            </w:pPr>
            <w:r>
              <w:rPr>
                <w:rFonts w:ascii="Times New Roman" w:hAnsi="Times New Roman" w:cs="Times New Roman"/>
                <w:sz w:val="20"/>
                <w:szCs w:val="20"/>
              </w:rPr>
              <w:t>От 10000000 до 15000000</w:t>
            </w:r>
          </w:p>
        </w:tc>
        <w:tc>
          <w:tcPr>
            <w:tcW w:w="30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3400000 долл. США+35%</w:t>
            </w:r>
          </w:p>
        </w:tc>
        <w:tc>
          <w:tcPr>
            <w:tcW w:w="34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10000000</w:t>
            </w:r>
          </w:p>
        </w:tc>
      </w:tr>
      <w:tr w:rsidR="00AC1367" w:rsidTr="00FE5828">
        <w:tc>
          <w:tcPr>
            <w:tcW w:w="30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both"/>
              <w:rPr>
                <w:rFonts w:ascii="Times New Roman" w:hAnsi="Times New Roman" w:cs="Times New Roman"/>
                <w:sz w:val="20"/>
                <w:szCs w:val="20"/>
              </w:rPr>
            </w:pPr>
            <w:r>
              <w:rPr>
                <w:rFonts w:ascii="Times New Roman" w:hAnsi="Times New Roman" w:cs="Times New Roman"/>
                <w:sz w:val="20"/>
                <w:szCs w:val="20"/>
              </w:rPr>
              <w:t>От 15000000 до 18333333</w:t>
            </w:r>
          </w:p>
        </w:tc>
        <w:tc>
          <w:tcPr>
            <w:tcW w:w="30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5150000 долл. США+38%</w:t>
            </w:r>
          </w:p>
        </w:tc>
        <w:tc>
          <w:tcPr>
            <w:tcW w:w="34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15000000</w:t>
            </w:r>
          </w:p>
        </w:tc>
      </w:tr>
      <w:tr w:rsidR="00AC1367" w:rsidTr="00FE5828">
        <w:tc>
          <w:tcPr>
            <w:tcW w:w="30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both"/>
              <w:rPr>
                <w:rFonts w:ascii="Times New Roman" w:hAnsi="Times New Roman" w:cs="Times New Roman"/>
                <w:sz w:val="20"/>
                <w:szCs w:val="20"/>
              </w:rPr>
            </w:pPr>
            <w:r>
              <w:rPr>
                <w:rFonts w:ascii="Times New Roman" w:hAnsi="Times New Roman" w:cs="Times New Roman"/>
                <w:sz w:val="20"/>
                <w:szCs w:val="20"/>
              </w:rPr>
              <w:t>Больше 18333333</w:t>
            </w:r>
          </w:p>
        </w:tc>
        <w:tc>
          <w:tcPr>
            <w:tcW w:w="30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35%</w:t>
            </w:r>
          </w:p>
        </w:tc>
        <w:tc>
          <w:tcPr>
            <w:tcW w:w="34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367" w:rsidRDefault="00AC1367"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r>
    </w:tbl>
    <w:p w:rsidR="00393E9F" w:rsidRPr="00DD40D0" w:rsidRDefault="00AC1367" w:rsidP="00DD40D0">
      <w:pPr>
        <w:pStyle w:val="a3"/>
        <w:ind w:firstLine="708"/>
        <w:jc w:val="both"/>
        <w:rPr>
          <w:rFonts w:ascii="Times New Roman" w:hAnsi="Times New Roman" w:cs="Times New Roman"/>
          <w:sz w:val="28"/>
          <w:szCs w:val="28"/>
        </w:rPr>
      </w:pPr>
      <w:r w:rsidRPr="00AC1367">
        <w:rPr>
          <w:rFonts w:ascii="Times New Roman" w:hAnsi="Times New Roman" w:cs="Times New Roman"/>
          <w:sz w:val="28"/>
          <w:szCs w:val="28"/>
        </w:rPr>
        <w:t>В  Соединенных Штатах в дополнение  к федеральному налогу на прибыль банков, в пределах своей юрисдикции, так же фиксируют местный налог на прибыль банков. Налог во всех государствах отличается. Размер местных налоговых ставок для нескольких штатов в США графически представлен на рисунке 2.</w:t>
      </w:r>
    </w:p>
    <w:p w:rsidR="00AC1367" w:rsidRDefault="00AC1367" w:rsidP="00AC1367">
      <w:pPr>
        <w:pStyle w:val="a3"/>
        <w:ind w:firstLine="708"/>
        <w:jc w:val="both"/>
        <w:rPr>
          <w:rFonts w:ascii="Times New Roman" w:hAnsi="Times New Roman" w:cs="Times New Roman"/>
          <w:sz w:val="28"/>
          <w:szCs w:val="28"/>
        </w:rPr>
      </w:pPr>
      <w:r w:rsidRPr="00AC1367">
        <w:rPr>
          <w:rFonts w:ascii="Times New Roman" w:hAnsi="Times New Roman" w:cs="Times New Roman"/>
          <w:b/>
          <w:sz w:val="28"/>
          <w:szCs w:val="28"/>
        </w:rPr>
        <w:t>Рисунок 2:</w:t>
      </w:r>
      <w:r w:rsidRPr="00AC1367">
        <w:rPr>
          <w:rFonts w:ascii="Times New Roman" w:hAnsi="Times New Roman" w:cs="Times New Roman"/>
          <w:sz w:val="28"/>
          <w:szCs w:val="28"/>
        </w:rPr>
        <w:t xml:space="preserve"> Местные налоги, налог на прибыль банков в Соединенных Штатах.</w:t>
      </w:r>
    </w:p>
    <w:p w:rsidR="00AC1367" w:rsidRPr="00AC1367" w:rsidRDefault="00AC1367" w:rsidP="00AC1367">
      <w:pPr>
        <w:pStyle w:val="a3"/>
        <w:ind w:firstLine="708"/>
        <w:jc w:val="both"/>
        <w:rPr>
          <w:rFonts w:ascii="Times New Roman" w:hAnsi="Times New Roman" w:cs="Times New Roman"/>
          <w:sz w:val="28"/>
          <w:szCs w:val="28"/>
        </w:rPr>
      </w:pPr>
      <w:r w:rsidRPr="00AC1367">
        <w:rPr>
          <w:rFonts w:ascii="Times New Roman" w:hAnsi="Times New Roman" w:cs="Times New Roman"/>
          <w:noProof/>
          <w:sz w:val="28"/>
          <w:szCs w:val="28"/>
          <w:lang w:eastAsia="ru-RU"/>
        </w:rPr>
        <w:t xml:space="preserve"> </w:t>
      </w:r>
      <w:r>
        <w:rPr>
          <w:rFonts w:ascii="Times New Roman" w:hAnsi="Times New Roman" w:cs="Times New Roman"/>
          <w:noProof/>
          <w:sz w:val="28"/>
          <w:szCs w:val="28"/>
          <w:lang w:eastAsia="ru-RU"/>
        </w:rPr>
        <w:drawing>
          <wp:inline distT="0" distB="0" distL="0" distR="0" wp14:anchorId="503DB170" wp14:editId="69CCFFEF">
            <wp:extent cx="3708360" cy="1823039"/>
            <wp:effectExtent l="0" t="0" r="6390" b="5761"/>
            <wp:docPr id="2" name="Графический объект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lum/>
                      <a:alphaModFix/>
                    </a:blip>
                    <a:srcRect/>
                    <a:stretch>
                      <a:fillRect/>
                    </a:stretch>
                  </pic:blipFill>
                  <pic:spPr>
                    <a:xfrm>
                      <a:off x="0" y="0"/>
                      <a:ext cx="3708360" cy="1823039"/>
                    </a:xfrm>
                    <a:prstGeom prst="rect">
                      <a:avLst/>
                    </a:prstGeom>
                    <a:ln>
                      <a:noFill/>
                      <a:prstDash/>
                    </a:ln>
                  </pic:spPr>
                </pic:pic>
              </a:graphicData>
            </a:graphic>
          </wp:inline>
        </w:drawing>
      </w:r>
    </w:p>
    <w:p w:rsidR="00AC1367" w:rsidRPr="00AC1367" w:rsidRDefault="00AC1367" w:rsidP="00AC136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AC1367">
        <w:rPr>
          <w:rFonts w:ascii="Times New Roman" w:hAnsi="Times New Roman" w:cs="Times New Roman"/>
          <w:sz w:val="28"/>
          <w:szCs w:val="28"/>
        </w:rPr>
        <w:t>Источник: Статистические данные налоговой отчетности. Служба внутренних доходов США.</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 xml:space="preserve">В некоторых штатах вместо местного налога на прибыль есть лицензия, за которую нужно платить, в других - специальные правила налогообложения банковской деятельности, в-третьих - специальные налоги. Иными словами, американская система налогообложения банков не такая «нежная», как в России. </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lastRenderedPageBreak/>
        <w:tab/>
        <w:t>Дело в том, что банки США платят налог на прибыль намного выше (75%), они не платят НДС, но так или иначе налоговая нагрузка на российские банки меньше по сравнению с коммерческими банками в Соединенных Штатах.</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В Германии налог на корпоративный доход взимается с балансовой прибыли компании. Ставка налога на прибыль составляет 15% плюс так называемый налог на солидарность в размере 5,5% от ставки налога. Кроме того, существует муниципальный налог с продаж, который устанавливается местными властями. Объектом налогообложения является прибыль, полученная от предпринимательской деятельности, средняя ставка которого составляет 14-17%. Таким образом, эффективная ставка налога на прибыль компании составляет около 30-33% (статистические данные налоговой отчетности, 2016 год). [6]</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При определении налоговой базы все расходы, понесенные банком в результате финансово-хозяйственной деятельности, вычитаются. Важной особенностью налогообложения банков является то, что проценты по кредитам не облагаются налогом.</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 xml:space="preserve">Налог на прибыль корпораций в Великобритании является аналогом одного и того же налога в Российской Федерации. Ставка регулируется финансовым законодательством Великобритании и зависит от суммы заработанных доходов и изменяется один раз в год. </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Во Франции предпочтительны косвенные налоги, особенно НДС, что является основной долей государственного бюджета (ставка НДС во Франции составляет 18,6%). Акционерные общества платят подоходный налог.</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Ставка корпоративного подоходного налога составляет 33,3%. Прибыль от налога на прирост рыночной стоимости долгосрочного капитала (т.е. капитала, находящегося на балансовой стоимости более двух лет), облагается налогом в размере 18% (статистические данные налоговой отчетности, 2016 год). [8]</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Исходя из данных пересмотренных налоговых систем в разных странах мира, было проведено сравнение иностранных и российских налоговых ставок. Вывод состоит в том, что основные налоги аналогичны на русском и в иностранной системе налогообложения банков (таблица 3).</w:t>
      </w:r>
    </w:p>
    <w:p w:rsidR="008814DC" w:rsidRPr="00AC1367" w:rsidRDefault="00AC1367" w:rsidP="00AC1367">
      <w:pPr>
        <w:pStyle w:val="a3"/>
        <w:ind w:firstLine="708"/>
        <w:jc w:val="both"/>
        <w:rPr>
          <w:rFonts w:ascii="Times New Roman" w:hAnsi="Times New Roman" w:cs="Times New Roman"/>
          <w:sz w:val="28"/>
          <w:szCs w:val="28"/>
        </w:rPr>
      </w:pPr>
      <w:r w:rsidRPr="00AC1367">
        <w:rPr>
          <w:rFonts w:ascii="Times New Roman" w:hAnsi="Times New Roman" w:cs="Times New Roman"/>
          <w:b/>
          <w:sz w:val="28"/>
          <w:szCs w:val="28"/>
        </w:rPr>
        <w:t>Таблица 3</w:t>
      </w:r>
      <w:r w:rsidRPr="00AC1367">
        <w:rPr>
          <w:rFonts w:ascii="Times New Roman" w:hAnsi="Times New Roman" w:cs="Times New Roman"/>
          <w:sz w:val="28"/>
          <w:szCs w:val="28"/>
        </w:rPr>
        <w:t>: Сравнительный анализ основных налогов, уплачиваемых банками в разных странах (%).</w:t>
      </w:r>
    </w:p>
    <w:tbl>
      <w:tblPr>
        <w:tblW w:w="9636" w:type="dxa"/>
        <w:tblLayout w:type="fixed"/>
        <w:tblCellMar>
          <w:left w:w="10" w:type="dxa"/>
          <w:right w:w="10" w:type="dxa"/>
        </w:tblCellMar>
        <w:tblLook w:val="0000" w:firstRow="0" w:lastRow="0" w:firstColumn="0" w:lastColumn="0" w:noHBand="0" w:noVBand="0"/>
      </w:tblPr>
      <w:tblGrid>
        <w:gridCol w:w="1108"/>
        <w:gridCol w:w="857"/>
        <w:gridCol w:w="757"/>
        <w:gridCol w:w="779"/>
        <w:gridCol w:w="1036"/>
        <w:gridCol w:w="907"/>
        <w:gridCol w:w="1041"/>
        <w:gridCol w:w="774"/>
        <w:gridCol w:w="907"/>
        <w:gridCol w:w="1470"/>
      </w:tblGrid>
      <w:tr w:rsidR="008814DC" w:rsidTr="00FE5828">
        <w:trPr>
          <w:trHeight w:val="1110"/>
        </w:trPr>
        <w:tc>
          <w:tcPr>
            <w:tcW w:w="1108" w:type="dxa"/>
            <w:tcBorders>
              <w:top w:val="single" w:sz="2" w:space="0" w:color="000000"/>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b/>
                <w:bCs/>
                <w:sz w:val="20"/>
                <w:szCs w:val="20"/>
              </w:rPr>
            </w:pPr>
            <w:r>
              <w:rPr>
                <w:rFonts w:ascii="Times New Roman" w:hAnsi="Times New Roman"/>
                <w:b/>
                <w:bCs/>
                <w:sz w:val="20"/>
                <w:szCs w:val="20"/>
              </w:rPr>
              <w:t>Налоги, уплачиваемые банком</w:t>
            </w:r>
          </w:p>
        </w:tc>
        <w:tc>
          <w:tcPr>
            <w:tcW w:w="857" w:type="dxa"/>
            <w:tcBorders>
              <w:top w:val="single" w:sz="2" w:space="0" w:color="000000"/>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b/>
                <w:bCs/>
                <w:sz w:val="20"/>
                <w:szCs w:val="20"/>
              </w:rPr>
            </w:pPr>
            <w:r>
              <w:rPr>
                <w:rFonts w:ascii="Times New Roman" w:hAnsi="Times New Roman"/>
                <w:b/>
                <w:bCs/>
                <w:sz w:val="20"/>
                <w:szCs w:val="20"/>
              </w:rPr>
              <w:t>Россия</w:t>
            </w:r>
          </w:p>
        </w:tc>
        <w:tc>
          <w:tcPr>
            <w:tcW w:w="757" w:type="dxa"/>
            <w:tcBorders>
              <w:top w:val="single" w:sz="2" w:space="0" w:color="000000"/>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b/>
                <w:bCs/>
                <w:sz w:val="20"/>
                <w:szCs w:val="20"/>
              </w:rPr>
            </w:pPr>
            <w:r>
              <w:rPr>
                <w:rFonts w:ascii="Times New Roman" w:hAnsi="Times New Roman"/>
                <w:b/>
                <w:bCs/>
                <w:sz w:val="20"/>
                <w:szCs w:val="20"/>
              </w:rPr>
              <w:t>США</w:t>
            </w:r>
          </w:p>
        </w:tc>
        <w:tc>
          <w:tcPr>
            <w:tcW w:w="779" w:type="dxa"/>
            <w:tcBorders>
              <w:top w:val="single" w:sz="2" w:space="0" w:color="000000"/>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b/>
                <w:bCs/>
                <w:sz w:val="20"/>
                <w:szCs w:val="20"/>
              </w:rPr>
            </w:pPr>
            <w:proofErr w:type="spellStart"/>
            <w:r>
              <w:rPr>
                <w:rFonts w:ascii="Times New Roman" w:hAnsi="Times New Roman"/>
                <w:b/>
                <w:bCs/>
                <w:sz w:val="20"/>
                <w:szCs w:val="20"/>
              </w:rPr>
              <w:t>откл</w:t>
            </w:r>
            <w:proofErr w:type="spellEnd"/>
          </w:p>
        </w:tc>
        <w:tc>
          <w:tcPr>
            <w:tcW w:w="1036" w:type="dxa"/>
            <w:tcBorders>
              <w:top w:val="single" w:sz="2" w:space="0" w:color="000000"/>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b/>
                <w:bCs/>
                <w:sz w:val="20"/>
                <w:szCs w:val="20"/>
              </w:rPr>
            </w:pPr>
            <w:r>
              <w:rPr>
                <w:rFonts w:ascii="Times New Roman" w:hAnsi="Times New Roman"/>
                <w:b/>
                <w:bCs/>
                <w:sz w:val="20"/>
                <w:szCs w:val="20"/>
              </w:rPr>
              <w:t>Германия</w:t>
            </w:r>
          </w:p>
        </w:tc>
        <w:tc>
          <w:tcPr>
            <w:tcW w:w="907" w:type="dxa"/>
            <w:tcBorders>
              <w:top w:val="single" w:sz="2" w:space="0" w:color="000000"/>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b/>
                <w:bCs/>
                <w:sz w:val="20"/>
                <w:szCs w:val="20"/>
              </w:rPr>
            </w:pPr>
            <w:proofErr w:type="spellStart"/>
            <w:r>
              <w:rPr>
                <w:rFonts w:ascii="Times New Roman" w:hAnsi="Times New Roman"/>
                <w:b/>
                <w:bCs/>
                <w:sz w:val="20"/>
                <w:szCs w:val="20"/>
              </w:rPr>
              <w:t>откл</w:t>
            </w:r>
            <w:proofErr w:type="spellEnd"/>
          </w:p>
        </w:tc>
        <w:tc>
          <w:tcPr>
            <w:tcW w:w="1041" w:type="dxa"/>
            <w:tcBorders>
              <w:top w:val="single" w:sz="2" w:space="0" w:color="000000"/>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b/>
                <w:bCs/>
                <w:sz w:val="20"/>
                <w:szCs w:val="20"/>
              </w:rPr>
            </w:pPr>
            <w:r>
              <w:rPr>
                <w:rFonts w:ascii="Times New Roman" w:hAnsi="Times New Roman"/>
                <w:b/>
                <w:bCs/>
                <w:sz w:val="20"/>
                <w:szCs w:val="20"/>
              </w:rPr>
              <w:t>Франция</w:t>
            </w:r>
          </w:p>
        </w:tc>
        <w:tc>
          <w:tcPr>
            <w:tcW w:w="774" w:type="dxa"/>
            <w:tcBorders>
              <w:top w:val="single" w:sz="2" w:space="0" w:color="000000"/>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b/>
                <w:bCs/>
                <w:sz w:val="20"/>
                <w:szCs w:val="20"/>
              </w:rPr>
            </w:pPr>
            <w:proofErr w:type="spellStart"/>
            <w:r>
              <w:rPr>
                <w:rFonts w:ascii="Times New Roman" w:hAnsi="Times New Roman"/>
                <w:b/>
                <w:bCs/>
                <w:sz w:val="20"/>
                <w:szCs w:val="20"/>
              </w:rPr>
              <w:t>откл</w:t>
            </w:r>
            <w:proofErr w:type="spellEnd"/>
          </w:p>
        </w:tc>
        <w:tc>
          <w:tcPr>
            <w:tcW w:w="907" w:type="dxa"/>
            <w:tcBorders>
              <w:top w:val="single" w:sz="2" w:space="0" w:color="000000"/>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b/>
                <w:bCs/>
                <w:sz w:val="20"/>
                <w:szCs w:val="20"/>
              </w:rPr>
            </w:pPr>
            <w:r>
              <w:rPr>
                <w:rFonts w:ascii="Times New Roman" w:hAnsi="Times New Roman"/>
                <w:b/>
                <w:bCs/>
                <w:sz w:val="20"/>
                <w:szCs w:val="20"/>
              </w:rPr>
              <w:t>Великобритания</w:t>
            </w:r>
          </w:p>
        </w:tc>
        <w:tc>
          <w:tcPr>
            <w:tcW w:w="147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b/>
                <w:bCs/>
                <w:sz w:val="20"/>
                <w:szCs w:val="20"/>
              </w:rPr>
            </w:pPr>
            <w:proofErr w:type="spellStart"/>
            <w:r>
              <w:rPr>
                <w:rFonts w:ascii="Times New Roman" w:hAnsi="Times New Roman"/>
                <w:b/>
                <w:bCs/>
                <w:sz w:val="20"/>
                <w:szCs w:val="20"/>
              </w:rPr>
              <w:t>откл</w:t>
            </w:r>
            <w:proofErr w:type="spellEnd"/>
          </w:p>
        </w:tc>
      </w:tr>
      <w:tr w:rsidR="008814DC" w:rsidTr="00FE5828">
        <w:tc>
          <w:tcPr>
            <w:tcW w:w="1108"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b/>
                <w:bCs/>
                <w:sz w:val="20"/>
                <w:szCs w:val="20"/>
              </w:rPr>
            </w:pPr>
            <w:r>
              <w:rPr>
                <w:rFonts w:ascii="Times New Roman" w:hAnsi="Times New Roman"/>
                <w:b/>
                <w:bCs/>
                <w:sz w:val="20"/>
                <w:szCs w:val="20"/>
              </w:rPr>
              <w:t>Налог на прибыль</w:t>
            </w:r>
          </w:p>
        </w:tc>
        <w:tc>
          <w:tcPr>
            <w:tcW w:w="857"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20</w:t>
            </w:r>
          </w:p>
        </w:tc>
        <w:tc>
          <w:tcPr>
            <w:tcW w:w="757"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35</w:t>
            </w:r>
          </w:p>
        </w:tc>
        <w:tc>
          <w:tcPr>
            <w:tcW w:w="779"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175,00%</w:t>
            </w:r>
          </w:p>
        </w:tc>
        <w:tc>
          <w:tcPr>
            <w:tcW w:w="1036"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33</w:t>
            </w:r>
          </w:p>
        </w:tc>
        <w:tc>
          <w:tcPr>
            <w:tcW w:w="907"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65,00%</w:t>
            </w:r>
          </w:p>
        </w:tc>
        <w:tc>
          <w:tcPr>
            <w:tcW w:w="1041"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33,3</w:t>
            </w:r>
          </w:p>
        </w:tc>
        <w:tc>
          <w:tcPr>
            <w:tcW w:w="774"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166,00%</w:t>
            </w:r>
          </w:p>
        </w:tc>
        <w:tc>
          <w:tcPr>
            <w:tcW w:w="907"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40</w:t>
            </w:r>
          </w:p>
        </w:tc>
        <w:tc>
          <w:tcPr>
            <w:tcW w:w="1470" w:type="dxa"/>
            <w:tcBorders>
              <w:left w:val="single" w:sz="2" w:space="0" w:color="000000"/>
              <w:bottom w:val="single" w:sz="2" w:space="0" w:color="000000"/>
              <w:right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200,00%</w:t>
            </w:r>
          </w:p>
        </w:tc>
      </w:tr>
      <w:tr w:rsidR="008814DC" w:rsidTr="00FE5828">
        <w:tc>
          <w:tcPr>
            <w:tcW w:w="1108"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b/>
                <w:bCs/>
                <w:sz w:val="20"/>
                <w:szCs w:val="20"/>
              </w:rPr>
            </w:pPr>
            <w:r>
              <w:rPr>
                <w:rFonts w:ascii="Times New Roman" w:hAnsi="Times New Roman"/>
                <w:b/>
                <w:bCs/>
                <w:sz w:val="20"/>
                <w:szCs w:val="20"/>
              </w:rPr>
              <w:t>НДС</w:t>
            </w:r>
          </w:p>
        </w:tc>
        <w:tc>
          <w:tcPr>
            <w:tcW w:w="857"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18</w:t>
            </w:r>
          </w:p>
        </w:tc>
        <w:tc>
          <w:tcPr>
            <w:tcW w:w="757"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w:t>
            </w:r>
          </w:p>
        </w:tc>
        <w:tc>
          <w:tcPr>
            <w:tcW w:w="779"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w:t>
            </w:r>
          </w:p>
        </w:tc>
        <w:tc>
          <w:tcPr>
            <w:tcW w:w="1036"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w:t>
            </w:r>
          </w:p>
        </w:tc>
        <w:tc>
          <w:tcPr>
            <w:tcW w:w="907"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w:t>
            </w:r>
          </w:p>
        </w:tc>
        <w:tc>
          <w:tcPr>
            <w:tcW w:w="1041"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18,6</w:t>
            </w:r>
          </w:p>
        </w:tc>
        <w:tc>
          <w:tcPr>
            <w:tcW w:w="774"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103,30%</w:t>
            </w:r>
          </w:p>
        </w:tc>
        <w:tc>
          <w:tcPr>
            <w:tcW w:w="907"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w:t>
            </w:r>
          </w:p>
        </w:tc>
        <w:tc>
          <w:tcPr>
            <w:tcW w:w="1470" w:type="dxa"/>
            <w:tcBorders>
              <w:left w:val="single" w:sz="2" w:space="0" w:color="000000"/>
              <w:bottom w:val="single" w:sz="2" w:space="0" w:color="000000"/>
              <w:right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w:t>
            </w:r>
          </w:p>
        </w:tc>
      </w:tr>
      <w:tr w:rsidR="008814DC" w:rsidTr="00FE5828">
        <w:trPr>
          <w:trHeight w:val="751"/>
        </w:trPr>
        <w:tc>
          <w:tcPr>
            <w:tcW w:w="1108"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b/>
                <w:bCs/>
                <w:sz w:val="20"/>
                <w:szCs w:val="20"/>
              </w:rPr>
            </w:pPr>
            <w:r>
              <w:rPr>
                <w:rFonts w:ascii="Times New Roman" w:hAnsi="Times New Roman"/>
                <w:b/>
                <w:bCs/>
                <w:sz w:val="20"/>
                <w:szCs w:val="20"/>
              </w:rPr>
              <w:lastRenderedPageBreak/>
              <w:t>Налог на имущество</w:t>
            </w:r>
          </w:p>
        </w:tc>
        <w:tc>
          <w:tcPr>
            <w:tcW w:w="857"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2</w:t>
            </w:r>
          </w:p>
        </w:tc>
        <w:tc>
          <w:tcPr>
            <w:tcW w:w="757"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1,4</w:t>
            </w:r>
          </w:p>
        </w:tc>
        <w:tc>
          <w:tcPr>
            <w:tcW w:w="779"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70,00%</w:t>
            </w:r>
          </w:p>
        </w:tc>
        <w:tc>
          <w:tcPr>
            <w:tcW w:w="1036"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0,6</w:t>
            </w:r>
          </w:p>
        </w:tc>
        <w:tc>
          <w:tcPr>
            <w:tcW w:w="907"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30,00%</w:t>
            </w:r>
          </w:p>
        </w:tc>
        <w:tc>
          <w:tcPr>
            <w:tcW w:w="1041"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1,5</w:t>
            </w:r>
          </w:p>
        </w:tc>
        <w:tc>
          <w:tcPr>
            <w:tcW w:w="774"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75,00%</w:t>
            </w:r>
          </w:p>
        </w:tc>
        <w:tc>
          <w:tcPr>
            <w:tcW w:w="907" w:type="dxa"/>
            <w:tcBorders>
              <w:left w:val="single" w:sz="2" w:space="0" w:color="000000"/>
              <w:bottom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1,5</w:t>
            </w:r>
          </w:p>
        </w:tc>
        <w:tc>
          <w:tcPr>
            <w:tcW w:w="1470" w:type="dxa"/>
            <w:tcBorders>
              <w:left w:val="single" w:sz="2" w:space="0" w:color="000000"/>
              <w:bottom w:val="single" w:sz="2" w:space="0" w:color="000000"/>
              <w:right w:val="single" w:sz="2" w:space="0" w:color="000000"/>
            </w:tcBorders>
            <w:tcMar>
              <w:top w:w="55" w:type="dxa"/>
              <w:left w:w="55" w:type="dxa"/>
              <w:bottom w:w="55" w:type="dxa"/>
              <w:right w:w="55" w:type="dxa"/>
            </w:tcMar>
          </w:tcPr>
          <w:p w:rsidR="008814DC" w:rsidRDefault="008814DC" w:rsidP="00BF2CF4">
            <w:pPr>
              <w:pStyle w:val="TableContents"/>
              <w:jc w:val="center"/>
              <w:rPr>
                <w:rFonts w:ascii="Times New Roman" w:hAnsi="Times New Roman"/>
                <w:sz w:val="20"/>
                <w:szCs w:val="20"/>
              </w:rPr>
            </w:pPr>
            <w:r>
              <w:rPr>
                <w:rFonts w:ascii="Times New Roman" w:hAnsi="Times New Roman"/>
                <w:sz w:val="20"/>
                <w:szCs w:val="20"/>
              </w:rPr>
              <w:t>75,00%</w:t>
            </w:r>
          </w:p>
        </w:tc>
      </w:tr>
    </w:tbl>
    <w:p w:rsidR="00AC1367" w:rsidRPr="00AC1367" w:rsidRDefault="00AC1367" w:rsidP="008814DC">
      <w:pPr>
        <w:pStyle w:val="a3"/>
        <w:ind w:firstLine="708"/>
        <w:jc w:val="both"/>
        <w:rPr>
          <w:rFonts w:ascii="Times New Roman" w:hAnsi="Times New Roman" w:cs="Times New Roman"/>
          <w:sz w:val="28"/>
          <w:szCs w:val="28"/>
        </w:rPr>
      </w:pPr>
      <w:r w:rsidRPr="00AC1367">
        <w:rPr>
          <w:rFonts w:ascii="Times New Roman" w:hAnsi="Times New Roman" w:cs="Times New Roman"/>
          <w:sz w:val="28"/>
          <w:szCs w:val="28"/>
        </w:rPr>
        <w:t>Источник: Составлено авторами по [4-8]</w:t>
      </w:r>
    </w:p>
    <w:p w:rsidR="00AC1367" w:rsidRPr="00AC1367" w:rsidRDefault="00AC1367" w:rsidP="008814DC">
      <w:pPr>
        <w:pStyle w:val="a3"/>
        <w:ind w:firstLine="708"/>
        <w:jc w:val="both"/>
        <w:rPr>
          <w:rFonts w:ascii="Times New Roman" w:hAnsi="Times New Roman" w:cs="Times New Roman"/>
          <w:sz w:val="28"/>
          <w:szCs w:val="28"/>
        </w:rPr>
      </w:pPr>
      <w:r w:rsidRPr="00AC1367">
        <w:rPr>
          <w:rFonts w:ascii="Times New Roman" w:hAnsi="Times New Roman" w:cs="Times New Roman"/>
          <w:sz w:val="28"/>
          <w:szCs w:val="28"/>
        </w:rPr>
        <w:t>Изучив налоговые системы разных стран и проанализировав процентное отклонение налоговых ставок в зарубежных странах по сравнению с российскими, можно сделать вывод, что налоговая ставка в России значительно ниже. Налоговая база коммерческих банков разных стран отличается. В России налоговое бремя ниже (по рассмотренным налогам), что означает, что российские кредитные организации в более благоприятных условиях. Однако внутренняя система банковского налогообложения имеет резервы на развитие и совершенствование.</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 xml:space="preserve">При определении налогооблагаемой базы налога на прибыль в России одной из наиболее серьезных проблем является право коммерческих банков и других кредитных организаций на уменьшение налогооблагаемой прибыли на суммы отчислений в резервы на возможные потери по ссудам. Российские кредитные организации работают в сложных условиях экономической нестабильности с большим риском. В этой ситуации создание резервов кредитных рисков (после определения налогооблагаемой базы) не имеет смысла. Напротив, возможность присвоения сумм ассигнований на резервы для расходов банков повысит стабильность внутренних коммерческих банков, что положительно повлияет на укрепление российской банковской системы в целом. </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Если говорить об улучшении налогообложения коммерческих банков, существует 3 способа налогового воздействия на банковскую деятельность: административный; законодательный; судебный.</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Административное воздействие может быть достигнуто путем систематизации налогового контроля или налоговой инспекции, налогового законодательства, которое легче понять</w:t>
      </w:r>
      <w:r w:rsidR="00393E9F">
        <w:rPr>
          <w:rFonts w:ascii="Times New Roman" w:hAnsi="Times New Roman" w:cs="Times New Roman"/>
          <w:sz w:val="28"/>
          <w:szCs w:val="28"/>
        </w:rPr>
        <w:t>.</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Законодательный метод означает изменение налоговых ставок, введение налоговых льгот и изменение налоговой базы. Необходимо создать систему формирования налоговой базы по налогу на прибыль, что даст возможность развития банковской системы и экономики страны.</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Достаточным продуктивным методом оптимизации налогообложения коммерческих банков является введение краткосрочных выгод для кредитных организаций. Наивысшим приоритетом для льгот является подоходный налог, в качестве варианта это введение специальных ставок для определенных типов налогоплательщиков. Такие изменения в налогообложении банков не принесут больших усилий, так как необходимо внести изменения только в статью 284 Налогового кодекса РФ.</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 xml:space="preserve">Стоит рассмотреть вариант дифференцированных налоговых ставок в зависимости от конкретной деятельности Банка. Также стоит рассмотреть вопрос о снижении налога на прибыль для банков, которые предоставляют долгосрочные кредиты для значимых государственных целей, например: </w:t>
      </w:r>
      <w:r w:rsidRPr="00AC1367">
        <w:rPr>
          <w:rFonts w:ascii="Times New Roman" w:hAnsi="Times New Roman" w:cs="Times New Roman"/>
          <w:sz w:val="28"/>
          <w:szCs w:val="28"/>
        </w:rPr>
        <w:lastRenderedPageBreak/>
        <w:t>проекты строительства дорог в рамках государственно-частного партнерства. [9,10,11]</w:t>
      </w:r>
    </w:p>
    <w:p w:rsidR="008814DC" w:rsidRPr="00AC1367" w:rsidRDefault="00AC1367" w:rsidP="008814DC">
      <w:pPr>
        <w:pStyle w:val="a3"/>
        <w:ind w:firstLine="708"/>
        <w:jc w:val="both"/>
        <w:rPr>
          <w:rFonts w:ascii="Times New Roman" w:hAnsi="Times New Roman" w:cs="Times New Roman"/>
          <w:sz w:val="28"/>
          <w:szCs w:val="28"/>
        </w:rPr>
      </w:pPr>
      <w:r w:rsidRPr="008814DC">
        <w:rPr>
          <w:rFonts w:ascii="Times New Roman" w:hAnsi="Times New Roman" w:cs="Times New Roman"/>
          <w:b/>
          <w:sz w:val="28"/>
          <w:szCs w:val="28"/>
        </w:rPr>
        <w:t>Таблица 2:</w:t>
      </w:r>
      <w:r w:rsidRPr="00AC1367">
        <w:rPr>
          <w:rFonts w:ascii="Times New Roman" w:hAnsi="Times New Roman" w:cs="Times New Roman"/>
          <w:sz w:val="28"/>
          <w:szCs w:val="28"/>
        </w:rPr>
        <w:t xml:space="preserve"> Налог на прибыль банков в Великобритании.</w:t>
      </w:r>
    </w:p>
    <w:tbl>
      <w:tblPr>
        <w:tblW w:w="9625" w:type="dxa"/>
        <w:tblInd w:w="9" w:type="dxa"/>
        <w:tblLayout w:type="fixed"/>
        <w:tblCellMar>
          <w:left w:w="10" w:type="dxa"/>
          <w:right w:w="10" w:type="dxa"/>
        </w:tblCellMar>
        <w:tblLook w:val="0000" w:firstRow="0" w:lastRow="0" w:firstColumn="0" w:lastColumn="0" w:noHBand="0" w:noVBand="0"/>
      </w:tblPr>
      <w:tblGrid>
        <w:gridCol w:w="2540"/>
        <w:gridCol w:w="1462"/>
        <w:gridCol w:w="1743"/>
        <w:gridCol w:w="1374"/>
        <w:gridCol w:w="2506"/>
      </w:tblGrid>
      <w:tr w:rsidR="008814DC" w:rsidTr="00FE5828">
        <w:tc>
          <w:tcPr>
            <w:tcW w:w="25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Уровень ставки налога</w:t>
            </w:r>
          </w:p>
        </w:tc>
        <w:tc>
          <w:tcPr>
            <w:tcW w:w="14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Доход от дивидендов (%)</w:t>
            </w:r>
          </w:p>
        </w:tc>
        <w:tc>
          <w:tcPr>
            <w:tcW w:w="17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Процентные ставки по банковским депозитам (%)</w:t>
            </w:r>
          </w:p>
        </w:tc>
        <w:tc>
          <w:tcPr>
            <w:tcW w:w="13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Другой доход (%)</w:t>
            </w:r>
          </w:p>
        </w:tc>
        <w:tc>
          <w:tcPr>
            <w:tcW w:w="250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Доход в фунтах</w:t>
            </w:r>
          </w:p>
        </w:tc>
      </w:tr>
      <w:tr w:rsidR="008814DC" w:rsidTr="00FE5828">
        <w:tc>
          <w:tcPr>
            <w:tcW w:w="25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Начальный уровень</w:t>
            </w:r>
          </w:p>
        </w:tc>
        <w:tc>
          <w:tcPr>
            <w:tcW w:w="14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17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c>
          <w:tcPr>
            <w:tcW w:w="13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c>
          <w:tcPr>
            <w:tcW w:w="250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10000-41865</w:t>
            </w:r>
          </w:p>
        </w:tc>
      </w:tr>
      <w:tr w:rsidR="008814DC" w:rsidTr="00FE5828">
        <w:tc>
          <w:tcPr>
            <w:tcW w:w="25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Средний уровень</w:t>
            </w:r>
          </w:p>
        </w:tc>
        <w:tc>
          <w:tcPr>
            <w:tcW w:w="14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7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3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250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41866-150000</w:t>
            </w:r>
          </w:p>
        </w:tc>
      </w:tr>
      <w:tr w:rsidR="008814DC" w:rsidTr="00FE5828">
        <w:tc>
          <w:tcPr>
            <w:tcW w:w="25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Высокий уровень</w:t>
            </w:r>
          </w:p>
        </w:tc>
        <w:tc>
          <w:tcPr>
            <w:tcW w:w="14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42.5</w:t>
            </w:r>
          </w:p>
        </w:tc>
        <w:tc>
          <w:tcPr>
            <w:tcW w:w="17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42.5</w:t>
            </w:r>
          </w:p>
        </w:tc>
        <w:tc>
          <w:tcPr>
            <w:tcW w:w="13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center"/>
              <w:rPr>
                <w:rFonts w:ascii="Times New Roman" w:hAnsi="Times New Roman" w:cs="Times New Roman"/>
                <w:sz w:val="20"/>
                <w:szCs w:val="20"/>
              </w:rPr>
            </w:pPr>
            <w:r>
              <w:rPr>
                <w:rFonts w:ascii="Times New Roman" w:hAnsi="Times New Roman" w:cs="Times New Roman"/>
                <w:sz w:val="20"/>
                <w:szCs w:val="20"/>
              </w:rPr>
              <w:t>45</w:t>
            </w:r>
          </w:p>
        </w:tc>
        <w:tc>
          <w:tcPr>
            <w:tcW w:w="250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814DC" w:rsidRDefault="008814DC" w:rsidP="00BF2CF4">
            <w:pPr>
              <w:pStyle w:val="Standard"/>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&gt;150000</w:t>
            </w:r>
          </w:p>
        </w:tc>
      </w:tr>
    </w:tbl>
    <w:p w:rsidR="00AC1367" w:rsidRPr="00AC1367" w:rsidRDefault="00AC1367" w:rsidP="008814DC">
      <w:pPr>
        <w:pStyle w:val="a3"/>
        <w:ind w:firstLine="708"/>
        <w:jc w:val="both"/>
        <w:rPr>
          <w:rFonts w:ascii="Times New Roman" w:hAnsi="Times New Roman" w:cs="Times New Roman"/>
          <w:sz w:val="28"/>
          <w:szCs w:val="28"/>
        </w:rPr>
      </w:pPr>
      <w:r w:rsidRPr="00AC1367">
        <w:rPr>
          <w:rFonts w:ascii="Times New Roman" w:hAnsi="Times New Roman" w:cs="Times New Roman"/>
          <w:sz w:val="28"/>
          <w:szCs w:val="28"/>
        </w:rPr>
        <w:t>Источник: [7]</w:t>
      </w:r>
    </w:p>
    <w:p w:rsidR="00AC1367" w:rsidRPr="00AC1367" w:rsidRDefault="00AC1367" w:rsidP="00393E9F">
      <w:pPr>
        <w:pStyle w:val="a3"/>
        <w:ind w:firstLine="708"/>
        <w:jc w:val="both"/>
        <w:rPr>
          <w:rFonts w:ascii="Times New Roman" w:hAnsi="Times New Roman" w:cs="Times New Roman"/>
          <w:sz w:val="28"/>
          <w:szCs w:val="28"/>
        </w:rPr>
      </w:pPr>
      <w:r w:rsidRPr="00AC1367">
        <w:rPr>
          <w:rFonts w:ascii="Times New Roman" w:hAnsi="Times New Roman" w:cs="Times New Roman"/>
          <w:sz w:val="28"/>
          <w:szCs w:val="28"/>
        </w:rPr>
        <w:t>Эти изменения в налогообложении банков позволят правительству контролировать (стимулировать) определенные сферы в банковском секторе и укреплять интересы банков для увеличения деловой активности. Введение льгот по ставке налога должно быть непродолжительным, и через определенный промежуток времени будет проведен анализ эффективности банка, и на основе этого анализа будет принято решение о продлении (прекращении) льгот.</w:t>
      </w:r>
    </w:p>
    <w:p w:rsidR="00393E9F" w:rsidRDefault="00393E9F" w:rsidP="00AC1367">
      <w:pPr>
        <w:pStyle w:val="a3"/>
        <w:jc w:val="both"/>
        <w:rPr>
          <w:rFonts w:ascii="Times New Roman" w:hAnsi="Times New Roman" w:cs="Times New Roman"/>
          <w:b/>
          <w:sz w:val="28"/>
          <w:szCs w:val="28"/>
        </w:rPr>
      </w:pPr>
    </w:p>
    <w:p w:rsidR="00AC1367" w:rsidRPr="008814DC" w:rsidRDefault="00AC1367" w:rsidP="00AC1367">
      <w:pPr>
        <w:pStyle w:val="a3"/>
        <w:jc w:val="both"/>
        <w:rPr>
          <w:rFonts w:ascii="Times New Roman" w:hAnsi="Times New Roman" w:cs="Times New Roman"/>
          <w:b/>
          <w:sz w:val="28"/>
          <w:szCs w:val="28"/>
        </w:rPr>
      </w:pPr>
      <w:r w:rsidRPr="008814DC">
        <w:rPr>
          <w:rFonts w:ascii="Times New Roman" w:hAnsi="Times New Roman" w:cs="Times New Roman"/>
          <w:b/>
          <w:sz w:val="28"/>
          <w:szCs w:val="28"/>
        </w:rPr>
        <w:tab/>
        <w:t>Заключение:</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Ставки основных налогов в российском банковском секторе были относительно ниже, как показал анализ налоговых систем за рубежом. Поэтому совершенствование банковского налогообложения не должно быть направлено на незначительное снижение налоговых ставок. Для административного налогового влияния было рекомендовано создать централизованный налоговый контроль и контроль за внутренней деятельностью банка; для юридического влияния необходимо вносить краткосрочные выгоды, дифференциацию налоговых ставок и изменения в налоговой базе по налогу на прибыль; в области судебного метода - следует улучшить пути решения противоречий в налоговом законодательстве.</w:t>
      </w:r>
    </w:p>
    <w:p w:rsidR="008814DC" w:rsidRPr="00393E9F"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ab/>
        <w:t>После предложенных мер по оптимизации налоговой системы в банковском секторе России государство и кредитные учреждения будут в гармонии в области налогообложения. Банк будет удовлетворять свои интересы как коммерческую организацию, правительство будет своевременно получать пополнение бюджета, а клиенты смогут получить услуги ведущего банка на льготных условиях. Все это приведет к повышению уровня национальной экономики в будущем, поскольку коммерческие банки играют важную роль в экономической и финансовой политике государства.</w:t>
      </w:r>
    </w:p>
    <w:p w:rsidR="00393E9F" w:rsidRDefault="00AC1367" w:rsidP="00AC1367">
      <w:pPr>
        <w:pStyle w:val="a3"/>
        <w:jc w:val="both"/>
        <w:rPr>
          <w:rFonts w:ascii="Times New Roman" w:hAnsi="Times New Roman" w:cs="Times New Roman"/>
          <w:b/>
          <w:sz w:val="28"/>
          <w:szCs w:val="28"/>
        </w:rPr>
      </w:pPr>
      <w:r w:rsidRPr="008814DC">
        <w:rPr>
          <w:rFonts w:ascii="Times New Roman" w:hAnsi="Times New Roman" w:cs="Times New Roman"/>
          <w:b/>
          <w:sz w:val="28"/>
          <w:szCs w:val="28"/>
        </w:rPr>
        <w:tab/>
      </w:r>
    </w:p>
    <w:p w:rsidR="00AC1367" w:rsidRPr="008814DC" w:rsidRDefault="00AC1367" w:rsidP="00393E9F">
      <w:pPr>
        <w:pStyle w:val="a3"/>
        <w:ind w:firstLine="708"/>
        <w:jc w:val="both"/>
        <w:rPr>
          <w:rFonts w:ascii="Times New Roman" w:hAnsi="Times New Roman" w:cs="Times New Roman"/>
          <w:b/>
          <w:sz w:val="28"/>
          <w:szCs w:val="28"/>
        </w:rPr>
      </w:pPr>
      <w:r w:rsidRPr="008814DC">
        <w:rPr>
          <w:rFonts w:ascii="Times New Roman" w:hAnsi="Times New Roman" w:cs="Times New Roman"/>
          <w:b/>
          <w:sz w:val="28"/>
          <w:szCs w:val="28"/>
        </w:rPr>
        <w:t>Список литературы:</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1.</w:t>
      </w:r>
      <w:r w:rsidRPr="00AC1367">
        <w:rPr>
          <w:rFonts w:ascii="Times New Roman" w:hAnsi="Times New Roman" w:cs="Times New Roman"/>
          <w:sz w:val="28"/>
          <w:szCs w:val="28"/>
        </w:rPr>
        <w:tab/>
        <w:t xml:space="preserve">Леликова Н.А., </w:t>
      </w:r>
      <w:proofErr w:type="spellStart"/>
      <w:r w:rsidRPr="00AC1367">
        <w:rPr>
          <w:rFonts w:ascii="Times New Roman" w:hAnsi="Times New Roman" w:cs="Times New Roman"/>
          <w:sz w:val="28"/>
          <w:szCs w:val="28"/>
        </w:rPr>
        <w:t>Конвисарова</w:t>
      </w:r>
      <w:proofErr w:type="spellEnd"/>
      <w:r w:rsidRPr="00AC1367">
        <w:rPr>
          <w:rFonts w:ascii="Times New Roman" w:hAnsi="Times New Roman" w:cs="Times New Roman"/>
          <w:sz w:val="28"/>
          <w:szCs w:val="28"/>
        </w:rPr>
        <w:t xml:space="preserve"> Е.В. Зарубежный опыт налогообложения малого бизнеса // Успехи современного естествознания. 2014. №12-2. С. 127-129.</w:t>
      </w:r>
    </w:p>
    <w:p w:rsidR="00AC1367" w:rsidRPr="00FE5828" w:rsidRDefault="00AC1367" w:rsidP="00AC1367">
      <w:pPr>
        <w:pStyle w:val="a3"/>
        <w:jc w:val="both"/>
        <w:rPr>
          <w:rFonts w:ascii="Times New Roman" w:hAnsi="Times New Roman" w:cs="Times New Roman"/>
          <w:sz w:val="28"/>
          <w:szCs w:val="28"/>
          <w:lang w:val="en-US"/>
        </w:rPr>
      </w:pPr>
      <w:r w:rsidRPr="00AC1367">
        <w:rPr>
          <w:rFonts w:ascii="Times New Roman" w:hAnsi="Times New Roman" w:cs="Times New Roman"/>
          <w:sz w:val="28"/>
          <w:szCs w:val="28"/>
        </w:rPr>
        <w:t>2.</w:t>
      </w:r>
      <w:r w:rsidRPr="00AC1367">
        <w:rPr>
          <w:rFonts w:ascii="Times New Roman" w:hAnsi="Times New Roman" w:cs="Times New Roman"/>
          <w:sz w:val="28"/>
          <w:szCs w:val="28"/>
        </w:rPr>
        <w:tab/>
        <w:t xml:space="preserve">Жукова В.В., </w:t>
      </w:r>
      <w:proofErr w:type="spellStart"/>
      <w:r w:rsidRPr="00AC1367">
        <w:rPr>
          <w:rFonts w:ascii="Times New Roman" w:hAnsi="Times New Roman" w:cs="Times New Roman"/>
          <w:sz w:val="28"/>
          <w:szCs w:val="28"/>
        </w:rPr>
        <w:t>Конвисарова</w:t>
      </w:r>
      <w:proofErr w:type="spellEnd"/>
      <w:r w:rsidRPr="00AC1367">
        <w:rPr>
          <w:rFonts w:ascii="Times New Roman" w:hAnsi="Times New Roman" w:cs="Times New Roman"/>
          <w:sz w:val="28"/>
          <w:szCs w:val="28"/>
        </w:rPr>
        <w:t xml:space="preserve"> Е.В. Проблемы и перспективы развития и рынка пластиковых карт в России // Современные научные исследования и инновации. </w:t>
      </w:r>
      <w:r w:rsidRPr="00FE5828">
        <w:rPr>
          <w:rFonts w:ascii="Times New Roman" w:hAnsi="Times New Roman" w:cs="Times New Roman"/>
          <w:sz w:val="28"/>
          <w:szCs w:val="28"/>
          <w:lang w:val="en-US"/>
        </w:rPr>
        <w:t xml:space="preserve">2014. №11-2(43). </w:t>
      </w:r>
      <w:r w:rsidRPr="00AC1367">
        <w:rPr>
          <w:rFonts w:ascii="Times New Roman" w:hAnsi="Times New Roman" w:cs="Times New Roman"/>
          <w:sz w:val="28"/>
          <w:szCs w:val="28"/>
        </w:rPr>
        <w:t>С</w:t>
      </w:r>
      <w:r w:rsidRPr="00FE5828">
        <w:rPr>
          <w:rFonts w:ascii="Times New Roman" w:hAnsi="Times New Roman" w:cs="Times New Roman"/>
          <w:sz w:val="28"/>
          <w:szCs w:val="28"/>
          <w:lang w:val="en-US"/>
        </w:rPr>
        <w:t>. 39-44.</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lang w:val="en-US"/>
        </w:rPr>
        <w:lastRenderedPageBreak/>
        <w:t>3.</w:t>
      </w:r>
      <w:r w:rsidRPr="00AC1367">
        <w:rPr>
          <w:rFonts w:ascii="Times New Roman" w:hAnsi="Times New Roman" w:cs="Times New Roman"/>
          <w:sz w:val="28"/>
          <w:szCs w:val="28"/>
          <w:lang w:val="en-US"/>
        </w:rPr>
        <w:tab/>
        <w:t xml:space="preserve">Elena </w:t>
      </w:r>
      <w:proofErr w:type="spellStart"/>
      <w:r w:rsidRPr="00AC1367">
        <w:rPr>
          <w:rFonts w:ascii="Times New Roman" w:hAnsi="Times New Roman" w:cs="Times New Roman"/>
          <w:sz w:val="28"/>
          <w:szCs w:val="28"/>
          <w:lang w:val="en-US"/>
        </w:rPr>
        <w:t>Konvisarova</w:t>
      </w:r>
      <w:proofErr w:type="spellEnd"/>
      <w:r w:rsidRPr="00AC1367">
        <w:rPr>
          <w:rFonts w:ascii="Times New Roman" w:hAnsi="Times New Roman" w:cs="Times New Roman"/>
          <w:sz w:val="28"/>
          <w:szCs w:val="28"/>
          <w:lang w:val="en-US"/>
        </w:rPr>
        <w:t xml:space="preserve">, Irina </w:t>
      </w:r>
      <w:proofErr w:type="spellStart"/>
      <w:r w:rsidRPr="00AC1367">
        <w:rPr>
          <w:rFonts w:ascii="Times New Roman" w:hAnsi="Times New Roman" w:cs="Times New Roman"/>
          <w:sz w:val="28"/>
          <w:szCs w:val="28"/>
          <w:lang w:val="en-US"/>
        </w:rPr>
        <w:t>Samsonova</w:t>
      </w:r>
      <w:proofErr w:type="spellEnd"/>
      <w:r w:rsidRPr="00AC1367">
        <w:rPr>
          <w:rFonts w:ascii="Times New Roman" w:hAnsi="Times New Roman" w:cs="Times New Roman"/>
          <w:sz w:val="28"/>
          <w:szCs w:val="28"/>
          <w:lang w:val="en-US"/>
        </w:rPr>
        <w:t xml:space="preserve">, Olga </w:t>
      </w:r>
      <w:proofErr w:type="spellStart"/>
      <w:r w:rsidRPr="00AC1367">
        <w:rPr>
          <w:rFonts w:ascii="Times New Roman" w:hAnsi="Times New Roman" w:cs="Times New Roman"/>
          <w:sz w:val="28"/>
          <w:szCs w:val="28"/>
          <w:lang w:val="en-US"/>
        </w:rPr>
        <w:t>Vorozhbit</w:t>
      </w:r>
      <w:proofErr w:type="spellEnd"/>
      <w:r w:rsidRPr="00AC1367">
        <w:rPr>
          <w:rFonts w:ascii="Times New Roman" w:hAnsi="Times New Roman" w:cs="Times New Roman"/>
          <w:sz w:val="28"/>
          <w:szCs w:val="28"/>
          <w:lang w:val="en-US"/>
        </w:rPr>
        <w:t xml:space="preserve">. The Nature and Problems of Tax Administration in the Russian Federation // Mediterranean Journal of Social Sciences. </w:t>
      </w:r>
      <w:r w:rsidRPr="00AC1367">
        <w:rPr>
          <w:rFonts w:ascii="Times New Roman" w:hAnsi="Times New Roman" w:cs="Times New Roman"/>
          <w:sz w:val="28"/>
          <w:szCs w:val="28"/>
        </w:rPr>
        <w:t>2015. Т. 6. №5. S. 3. С. 78-83.</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4.</w:t>
      </w:r>
      <w:r w:rsidRPr="00AC1367">
        <w:rPr>
          <w:rFonts w:ascii="Times New Roman" w:hAnsi="Times New Roman" w:cs="Times New Roman"/>
          <w:sz w:val="28"/>
          <w:szCs w:val="28"/>
        </w:rPr>
        <w:tab/>
        <w:t>Налоговый кодекс Российской Федерации (НК РФ) Часть 2 от 05.08.2000.</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5.</w:t>
      </w:r>
      <w:r w:rsidRPr="00AC1367">
        <w:rPr>
          <w:rFonts w:ascii="Times New Roman" w:hAnsi="Times New Roman" w:cs="Times New Roman"/>
          <w:sz w:val="28"/>
          <w:szCs w:val="28"/>
        </w:rPr>
        <w:tab/>
        <w:t>Данные по формам статистической налоговой отчетности [Электронный ресурс]: Официальный сайт Федеральной налоговой службы США. URL: https://www.irs.gov/pub/irs-pdf/i1120.pdf/ (дата обращения – 12.03.2016).</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6.</w:t>
      </w:r>
      <w:r w:rsidRPr="00AC1367">
        <w:rPr>
          <w:rFonts w:ascii="Times New Roman" w:hAnsi="Times New Roman" w:cs="Times New Roman"/>
          <w:sz w:val="28"/>
          <w:szCs w:val="28"/>
        </w:rPr>
        <w:tab/>
        <w:t>Данные по формам статистической налоговой отчетности [Электронный ресурс]: Официальный сайт налогового департамента Министерства финансов Германии. URL: http://www. bundesfinanzministerium.de/</w:t>
      </w:r>
      <w:proofErr w:type="spellStart"/>
      <w:r w:rsidRPr="00AC1367">
        <w:rPr>
          <w:rFonts w:ascii="Times New Roman" w:hAnsi="Times New Roman" w:cs="Times New Roman"/>
          <w:sz w:val="28"/>
          <w:szCs w:val="28"/>
        </w:rPr>
        <w:t>Web</w:t>
      </w:r>
      <w:proofErr w:type="spellEnd"/>
      <w:r w:rsidRPr="00AC1367">
        <w:rPr>
          <w:rFonts w:ascii="Times New Roman" w:hAnsi="Times New Roman" w:cs="Times New Roman"/>
          <w:sz w:val="28"/>
          <w:szCs w:val="28"/>
        </w:rPr>
        <w:t>/DE/ (дата обращения – 12.03.2016).</w:t>
      </w:r>
    </w:p>
    <w:p w:rsidR="00AC1367" w:rsidRPr="00AC1367" w:rsidRDefault="00AC1367" w:rsidP="00AC1367">
      <w:pPr>
        <w:pStyle w:val="a3"/>
        <w:jc w:val="both"/>
        <w:rPr>
          <w:rFonts w:ascii="Times New Roman" w:hAnsi="Times New Roman" w:cs="Times New Roman"/>
          <w:sz w:val="28"/>
          <w:szCs w:val="28"/>
          <w:lang w:val="en-US"/>
        </w:rPr>
      </w:pPr>
      <w:r w:rsidRPr="00AC1367">
        <w:rPr>
          <w:rFonts w:ascii="Times New Roman" w:hAnsi="Times New Roman" w:cs="Times New Roman"/>
          <w:sz w:val="28"/>
          <w:szCs w:val="28"/>
        </w:rPr>
        <w:t>7.</w:t>
      </w:r>
      <w:r w:rsidRPr="00AC1367">
        <w:rPr>
          <w:rFonts w:ascii="Times New Roman" w:hAnsi="Times New Roman" w:cs="Times New Roman"/>
          <w:sz w:val="28"/>
          <w:szCs w:val="28"/>
        </w:rPr>
        <w:tab/>
        <w:t xml:space="preserve">Данные по формам статистической налоговой отчетности [Электронный ресурс]: Официальный сайт налоговой и таможенной администрацией Великобритании. </w:t>
      </w:r>
      <w:r w:rsidRPr="00AC1367">
        <w:rPr>
          <w:rFonts w:ascii="Times New Roman" w:hAnsi="Times New Roman" w:cs="Times New Roman"/>
          <w:sz w:val="28"/>
          <w:szCs w:val="28"/>
          <w:lang w:val="en-US"/>
        </w:rPr>
        <w:t>URL: https://www.gov.uk/ government/</w:t>
      </w:r>
      <w:proofErr w:type="spellStart"/>
      <w:r w:rsidRPr="00AC1367">
        <w:rPr>
          <w:rFonts w:ascii="Times New Roman" w:hAnsi="Times New Roman" w:cs="Times New Roman"/>
          <w:sz w:val="28"/>
          <w:szCs w:val="28"/>
          <w:lang w:val="en-US"/>
        </w:rPr>
        <w:t>organisations</w:t>
      </w:r>
      <w:proofErr w:type="spellEnd"/>
      <w:r w:rsidRPr="00AC1367">
        <w:rPr>
          <w:rFonts w:ascii="Times New Roman" w:hAnsi="Times New Roman" w:cs="Times New Roman"/>
          <w:sz w:val="28"/>
          <w:szCs w:val="28"/>
          <w:lang w:val="en-US"/>
        </w:rPr>
        <w:t>/</w:t>
      </w:r>
      <w:proofErr w:type="spellStart"/>
      <w:r w:rsidRPr="00AC1367">
        <w:rPr>
          <w:rFonts w:ascii="Times New Roman" w:hAnsi="Times New Roman" w:cs="Times New Roman"/>
          <w:sz w:val="28"/>
          <w:szCs w:val="28"/>
          <w:lang w:val="en-US"/>
        </w:rPr>
        <w:t>hm</w:t>
      </w:r>
      <w:proofErr w:type="spellEnd"/>
      <w:r w:rsidRPr="00AC1367">
        <w:rPr>
          <w:rFonts w:ascii="Times New Roman" w:hAnsi="Times New Roman" w:cs="Times New Roman"/>
          <w:sz w:val="28"/>
          <w:szCs w:val="28"/>
          <w:lang w:val="en-US"/>
        </w:rPr>
        <w:t>-revenue-customs/ (</w:t>
      </w:r>
      <w:r w:rsidRPr="00AC1367">
        <w:rPr>
          <w:rFonts w:ascii="Times New Roman" w:hAnsi="Times New Roman" w:cs="Times New Roman"/>
          <w:sz w:val="28"/>
          <w:szCs w:val="28"/>
        </w:rPr>
        <w:t>дата</w:t>
      </w:r>
      <w:r w:rsidRPr="00AC1367">
        <w:rPr>
          <w:rFonts w:ascii="Times New Roman" w:hAnsi="Times New Roman" w:cs="Times New Roman"/>
          <w:sz w:val="28"/>
          <w:szCs w:val="28"/>
          <w:lang w:val="en-US"/>
        </w:rPr>
        <w:t xml:space="preserve"> </w:t>
      </w:r>
      <w:r w:rsidRPr="00AC1367">
        <w:rPr>
          <w:rFonts w:ascii="Times New Roman" w:hAnsi="Times New Roman" w:cs="Times New Roman"/>
          <w:sz w:val="28"/>
          <w:szCs w:val="28"/>
        </w:rPr>
        <w:t>обращения</w:t>
      </w:r>
      <w:r w:rsidRPr="00AC1367">
        <w:rPr>
          <w:rFonts w:ascii="Times New Roman" w:hAnsi="Times New Roman" w:cs="Times New Roman"/>
          <w:sz w:val="28"/>
          <w:szCs w:val="28"/>
          <w:lang w:val="en-US"/>
        </w:rPr>
        <w:t xml:space="preserve"> – 12.03.2016).</w:t>
      </w:r>
    </w:p>
    <w:p w:rsidR="00AC1367" w:rsidRPr="00AC1367" w:rsidRDefault="00AC1367" w:rsidP="00AC1367">
      <w:pPr>
        <w:pStyle w:val="a3"/>
        <w:jc w:val="both"/>
        <w:rPr>
          <w:rFonts w:ascii="Times New Roman" w:hAnsi="Times New Roman" w:cs="Times New Roman"/>
          <w:sz w:val="28"/>
          <w:szCs w:val="28"/>
          <w:lang w:val="en-US"/>
        </w:rPr>
      </w:pPr>
      <w:r w:rsidRPr="00AC1367">
        <w:rPr>
          <w:rFonts w:ascii="Times New Roman" w:hAnsi="Times New Roman" w:cs="Times New Roman"/>
          <w:sz w:val="28"/>
          <w:szCs w:val="28"/>
        </w:rPr>
        <w:t>8.</w:t>
      </w:r>
      <w:r w:rsidRPr="00AC1367">
        <w:rPr>
          <w:rFonts w:ascii="Times New Roman" w:hAnsi="Times New Roman" w:cs="Times New Roman"/>
          <w:sz w:val="28"/>
          <w:szCs w:val="28"/>
        </w:rPr>
        <w:tab/>
        <w:t xml:space="preserve">Данные по формам статистической налоговой отчетности [Электронный ресурс]: Официальный сайт Главное управление государственных финансов Франции. </w:t>
      </w:r>
      <w:r w:rsidRPr="00AC1367">
        <w:rPr>
          <w:rFonts w:ascii="Times New Roman" w:hAnsi="Times New Roman" w:cs="Times New Roman"/>
          <w:sz w:val="28"/>
          <w:szCs w:val="28"/>
          <w:lang w:val="en-US"/>
        </w:rPr>
        <w:t xml:space="preserve">URL: http://www.impots.gouv. </w:t>
      </w:r>
      <w:proofErr w:type="spellStart"/>
      <w:r w:rsidRPr="00AC1367">
        <w:rPr>
          <w:rFonts w:ascii="Times New Roman" w:hAnsi="Times New Roman" w:cs="Times New Roman"/>
          <w:sz w:val="28"/>
          <w:szCs w:val="28"/>
          <w:lang w:val="en-US"/>
        </w:rPr>
        <w:t>fr</w:t>
      </w:r>
      <w:proofErr w:type="spellEnd"/>
      <w:r w:rsidRPr="00AC1367">
        <w:rPr>
          <w:rFonts w:ascii="Times New Roman" w:hAnsi="Times New Roman" w:cs="Times New Roman"/>
          <w:sz w:val="28"/>
          <w:szCs w:val="28"/>
          <w:lang w:val="en-US"/>
        </w:rPr>
        <w:t>/portal/static/ (</w:t>
      </w:r>
      <w:r w:rsidRPr="00AC1367">
        <w:rPr>
          <w:rFonts w:ascii="Times New Roman" w:hAnsi="Times New Roman" w:cs="Times New Roman"/>
          <w:sz w:val="28"/>
          <w:szCs w:val="28"/>
        </w:rPr>
        <w:t>дата</w:t>
      </w:r>
      <w:r w:rsidRPr="00AC1367">
        <w:rPr>
          <w:rFonts w:ascii="Times New Roman" w:hAnsi="Times New Roman" w:cs="Times New Roman"/>
          <w:sz w:val="28"/>
          <w:szCs w:val="28"/>
          <w:lang w:val="en-US"/>
        </w:rPr>
        <w:t xml:space="preserve"> </w:t>
      </w:r>
      <w:r w:rsidRPr="00AC1367">
        <w:rPr>
          <w:rFonts w:ascii="Times New Roman" w:hAnsi="Times New Roman" w:cs="Times New Roman"/>
          <w:sz w:val="28"/>
          <w:szCs w:val="28"/>
        </w:rPr>
        <w:t>обращения</w:t>
      </w:r>
      <w:r w:rsidRPr="00AC1367">
        <w:rPr>
          <w:rFonts w:ascii="Times New Roman" w:hAnsi="Times New Roman" w:cs="Times New Roman"/>
          <w:sz w:val="28"/>
          <w:szCs w:val="28"/>
          <w:lang w:val="en-US"/>
        </w:rPr>
        <w:t xml:space="preserve"> – 12.03.2016).</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9.</w:t>
      </w:r>
      <w:r w:rsidRPr="00AC1367">
        <w:rPr>
          <w:rFonts w:ascii="Times New Roman" w:hAnsi="Times New Roman" w:cs="Times New Roman"/>
          <w:sz w:val="28"/>
          <w:szCs w:val="28"/>
        </w:rPr>
        <w:tab/>
      </w:r>
      <w:proofErr w:type="spellStart"/>
      <w:r w:rsidRPr="00AC1367">
        <w:rPr>
          <w:rFonts w:ascii="Times New Roman" w:hAnsi="Times New Roman" w:cs="Times New Roman"/>
          <w:sz w:val="28"/>
          <w:szCs w:val="28"/>
        </w:rPr>
        <w:t>Конвисарова</w:t>
      </w:r>
      <w:proofErr w:type="spellEnd"/>
      <w:r w:rsidRPr="00AC1367">
        <w:rPr>
          <w:rFonts w:ascii="Times New Roman" w:hAnsi="Times New Roman" w:cs="Times New Roman"/>
          <w:sz w:val="28"/>
          <w:szCs w:val="28"/>
        </w:rPr>
        <w:t xml:space="preserve"> Е.В., </w:t>
      </w:r>
      <w:proofErr w:type="spellStart"/>
      <w:r w:rsidRPr="00AC1367">
        <w:rPr>
          <w:rFonts w:ascii="Times New Roman" w:hAnsi="Times New Roman" w:cs="Times New Roman"/>
          <w:sz w:val="28"/>
          <w:szCs w:val="28"/>
        </w:rPr>
        <w:t>Уксуменко</w:t>
      </w:r>
      <w:proofErr w:type="spellEnd"/>
      <w:r w:rsidRPr="00AC1367">
        <w:rPr>
          <w:rFonts w:ascii="Times New Roman" w:hAnsi="Times New Roman" w:cs="Times New Roman"/>
          <w:sz w:val="28"/>
          <w:szCs w:val="28"/>
        </w:rPr>
        <w:t xml:space="preserve"> А.А. Проблемы финансирования автодорожного хозяйства в контексте национальной безопасности России // Национальная безопасность / </w:t>
      </w:r>
      <w:proofErr w:type="spellStart"/>
      <w:r w:rsidRPr="00AC1367">
        <w:rPr>
          <w:rFonts w:ascii="Times New Roman" w:hAnsi="Times New Roman" w:cs="Times New Roman"/>
          <w:sz w:val="28"/>
          <w:szCs w:val="28"/>
        </w:rPr>
        <w:t>nota</w:t>
      </w:r>
      <w:proofErr w:type="spellEnd"/>
      <w:r w:rsidRPr="00AC1367">
        <w:rPr>
          <w:rFonts w:ascii="Times New Roman" w:hAnsi="Times New Roman" w:cs="Times New Roman"/>
          <w:sz w:val="28"/>
          <w:szCs w:val="28"/>
        </w:rPr>
        <w:t xml:space="preserve"> </w:t>
      </w:r>
      <w:proofErr w:type="spellStart"/>
      <w:r w:rsidRPr="00AC1367">
        <w:rPr>
          <w:rFonts w:ascii="Times New Roman" w:hAnsi="Times New Roman" w:cs="Times New Roman"/>
          <w:sz w:val="28"/>
          <w:szCs w:val="28"/>
        </w:rPr>
        <w:t>bene</w:t>
      </w:r>
      <w:proofErr w:type="spellEnd"/>
      <w:r w:rsidRPr="00AC1367">
        <w:rPr>
          <w:rFonts w:ascii="Times New Roman" w:hAnsi="Times New Roman" w:cs="Times New Roman"/>
          <w:sz w:val="28"/>
          <w:szCs w:val="28"/>
        </w:rPr>
        <w:t>. 2016. №2. С. 276-285.</w:t>
      </w:r>
    </w:p>
    <w:p w:rsidR="00AC136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10.</w:t>
      </w:r>
      <w:r w:rsidRPr="00AC1367">
        <w:rPr>
          <w:rFonts w:ascii="Times New Roman" w:hAnsi="Times New Roman" w:cs="Times New Roman"/>
          <w:sz w:val="28"/>
          <w:szCs w:val="28"/>
        </w:rPr>
        <w:tab/>
        <w:t>Автодорожный комплекс России. проблемы управления, финансирования, учета и способы их преодоления сборник статей // Дальневосточный федеральный университет. Владивосток, 2008. С. 65.</w:t>
      </w:r>
    </w:p>
    <w:p w:rsidR="001C3217" w:rsidRPr="00AC1367" w:rsidRDefault="00AC1367" w:rsidP="00AC1367">
      <w:pPr>
        <w:pStyle w:val="a3"/>
        <w:jc w:val="both"/>
        <w:rPr>
          <w:rFonts w:ascii="Times New Roman" w:hAnsi="Times New Roman" w:cs="Times New Roman"/>
          <w:sz w:val="28"/>
          <w:szCs w:val="28"/>
        </w:rPr>
      </w:pPr>
      <w:r w:rsidRPr="00AC1367">
        <w:rPr>
          <w:rFonts w:ascii="Times New Roman" w:hAnsi="Times New Roman" w:cs="Times New Roman"/>
          <w:sz w:val="28"/>
          <w:szCs w:val="28"/>
        </w:rPr>
        <w:t>11.</w:t>
      </w:r>
      <w:r w:rsidRPr="00AC1367">
        <w:rPr>
          <w:rFonts w:ascii="Times New Roman" w:hAnsi="Times New Roman" w:cs="Times New Roman"/>
          <w:sz w:val="28"/>
          <w:szCs w:val="28"/>
        </w:rPr>
        <w:tab/>
      </w:r>
      <w:proofErr w:type="spellStart"/>
      <w:r w:rsidRPr="00AC1367">
        <w:rPr>
          <w:rFonts w:ascii="Times New Roman" w:hAnsi="Times New Roman" w:cs="Times New Roman"/>
          <w:sz w:val="28"/>
          <w:szCs w:val="28"/>
        </w:rPr>
        <w:t>Кульнева</w:t>
      </w:r>
      <w:proofErr w:type="spellEnd"/>
      <w:r w:rsidRPr="00AC1367">
        <w:rPr>
          <w:rFonts w:ascii="Times New Roman" w:hAnsi="Times New Roman" w:cs="Times New Roman"/>
          <w:sz w:val="28"/>
          <w:szCs w:val="28"/>
        </w:rPr>
        <w:t xml:space="preserve"> Е.В., </w:t>
      </w:r>
      <w:proofErr w:type="spellStart"/>
      <w:r w:rsidRPr="00AC1367">
        <w:rPr>
          <w:rFonts w:ascii="Times New Roman" w:hAnsi="Times New Roman" w:cs="Times New Roman"/>
          <w:sz w:val="28"/>
          <w:szCs w:val="28"/>
        </w:rPr>
        <w:t>Конвисарова</w:t>
      </w:r>
      <w:proofErr w:type="spellEnd"/>
      <w:r w:rsidRPr="00AC1367">
        <w:rPr>
          <w:rFonts w:ascii="Times New Roman" w:hAnsi="Times New Roman" w:cs="Times New Roman"/>
          <w:sz w:val="28"/>
          <w:szCs w:val="28"/>
        </w:rPr>
        <w:t xml:space="preserve"> Е.В. Вопросы совершенствования налоговых источников финансирования дорожного хозяйства //Современные проблемы науки и образования. 2015. №1-1. С. 670.</w:t>
      </w:r>
    </w:p>
    <w:sectPr w:rsidR="001C3217" w:rsidRPr="00AC1367" w:rsidSect="00FE5828">
      <w:pgSz w:w="11906" w:h="16838"/>
      <w:pgMar w:top="1560"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0F1"/>
    <w:rsid w:val="001C3217"/>
    <w:rsid w:val="002F60F1"/>
    <w:rsid w:val="00354A3F"/>
    <w:rsid w:val="00393E9F"/>
    <w:rsid w:val="00565844"/>
    <w:rsid w:val="0064393D"/>
    <w:rsid w:val="008814DC"/>
    <w:rsid w:val="00AC1367"/>
    <w:rsid w:val="00BC5981"/>
    <w:rsid w:val="00DD40D0"/>
    <w:rsid w:val="00EE6F9E"/>
    <w:rsid w:val="00FE58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24115"/>
  <w15:docId w15:val="{CED634B3-8095-4E68-A6EE-E8791A502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1367"/>
    <w:pPr>
      <w:widowControl w:val="0"/>
      <w:suppressAutoHyphens/>
      <w:autoSpaceDN w:val="0"/>
      <w:spacing w:line="256" w:lineRule="auto"/>
      <w:textAlignment w:val="baseline"/>
    </w:pPr>
    <w:rPr>
      <w:rFonts w:ascii="Calibri" w:eastAsia="SimSun" w:hAnsi="Calibri" w:cs="Tahoma"/>
      <w:kern w:val="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C1367"/>
    <w:pPr>
      <w:spacing w:after="0" w:line="240" w:lineRule="auto"/>
    </w:pPr>
  </w:style>
  <w:style w:type="paragraph" w:customStyle="1" w:styleId="Standard">
    <w:name w:val="Standard"/>
    <w:rsid w:val="00AC1367"/>
    <w:pPr>
      <w:suppressAutoHyphens/>
      <w:autoSpaceDN w:val="0"/>
      <w:spacing w:line="256" w:lineRule="auto"/>
      <w:textAlignment w:val="baseline"/>
    </w:pPr>
    <w:rPr>
      <w:rFonts w:ascii="Calibri" w:eastAsia="SimSun" w:hAnsi="Calibri" w:cs="Tahoma"/>
      <w:kern w:val="3"/>
    </w:rPr>
  </w:style>
  <w:style w:type="paragraph" w:customStyle="1" w:styleId="TableContents">
    <w:name w:val="Table Contents"/>
    <w:basedOn w:val="Standard"/>
    <w:rsid w:val="008814DC"/>
    <w:pPr>
      <w:suppressLineNumbers/>
    </w:pPr>
  </w:style>
  <w:style w:type="paragraph" w:styleId="a4">
    <w:name w:val="Balloon Text"/>
    <w:basedOn w:val="a"/>
    <w:link w:val="a5"/>
    <w:uiPriority w:val="99"/>
    <w:semiHidden/>
    <w:unhideWhenUsed/>
    <w:rsid w:val="0064393D"/>
    <w:pPr>
      <w:spacing w:after="0" w:line="240" w:lineRule="auto"/>
    </w:pPr>
    <w:rPr>
      <w:rFonts w:ascii="Tahoma" w:hAnsi="Tahoma"/>
      <w:sz w:val="16"/>
      <w:szCs w:val="16"/>
    </w:rPr>
  </w:style>
  <w:style w:type="character" w:customStyle="1" w:styleId="a5">
    <w:name w:val="Текст выноски Знак"/>
    <w:basedOn w:val="a0"/>
    <w:link w:val="a4"/>
    <w:uiPriority w:val="99"/>
    <w:semiHidden/>
    <w:rsid w:val="0064393D"/>
    <w:rPr>
      <w:rFonts w:ascii="Tahoma" w:eastAsia="SimSun" w:hAnsi="Tahoma" w:cs="Tahoma"/>
      <w:kern w:val="3"/>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2361</Words>
  <Characters>13463</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Елизавета Грачева</dc:creator>
  <cp:keywords/>
  <dc:description/>
  <cp:lastModifiedBy>User</cp:lastModifiedBy>
  <cp:revision>4</cp:revision>
  <dcterms:created xsi:type="dcterms:W3CDTF">2018-12-16T13:46:00Z</dcterms:created>
  <dcterms:modified xsi:type="dcterms:W3CDTF">2018-12-23T15:55:00Z</dcterms:modified>
</cp:coreProperties>
</file>