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
        <w:spacing/>
        <w:jc w:val="center"/>
        <w:rPr>
          <w:rFonts w:ascii="Times New Roman" w:hAnsi="Times New Roman"/>
          <w:color w:val="auto"/>
          <w:sz w:val="22"/>
          <w:szCs w:val="22"/>
        </w:rPr>
      </w:pPr>
      <w:r>
        <w:rPr>
          <w:rFonts w:ascii="Calibri" w:hAnsi="Calibri"/>
          <w:color w:val="auto"/>
          <w:sz w:val="22"/>
          <w:szCs w:val="22"/>
        </w:rPr>
      </w:r>
      <w:bookmarkStart w:id="0" w:name="_GoBack"/>
      <w:bookmarkEnd w:id="0"/>
      <w:r>
        <w:rPr>
          <w:rFonts w:ascii="Calibri" w:hAnsi="Calibri"/>
          <w:color w:val="auto"/>
          <w:sz w:val="22"/>
          <w:szCs w:val="22"/>
        </w:rPr>
      </w:r>
      <w:r>
        <w:rPr>
          <w:rFonts w:ascii="Times New Roman" w:hAnsi="Times New Roman"/>
          <w:color w:val="auto"/>
          <w:sz w:val="22"/>
          <w:szCs w:val="22"/>
        </w:rPr>
        <w:t>Содержание</w:t>
      </w:r>
      <w:r>
        <w:rPr>
          <w:rFonts w:ascii="Times New Roman" w:hAnsi="Times New Roman"/>
          <w:color w:val="auto"/>
          <w:sz w:val="22"/>
          <w:szCs w:val="22"/>
        </w:rPr>
      </w:r>
    </w:p>
    <w:p>
      <w:r/>
      <w:r>
        <w:fldChar w:fldCharType="end"/>
      </w:r>
    </w:p>
    <w:p>
      <w:pPr>
        <w:pStyle w:val="1"/>
        <w:tabs>
          <w:tab w:val="right" w:pos="9345" w:leader="dot"/>
        </w:tabs>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TOC \o \h </w:instrText>
      </w:r>
      <w:r>
        <w:rPr>
          <w:rFonts w:ascii="Times New Roman" w:hAnsi="Times New Roman"/>
          <w:sz w:val="28"/>
          <w:szCs w:val="28"/>
        </w:rPr>
        <w:fldChar w:fldCharType="separate"/>
      </w:r>
      <w:hyperlink w:anchor="_Toc21428848" w:history="1">
        <w:r>
          <w:rPr>
            <w:rStyle w:val=""/>
            <w:rFonts w:ascii="Times New Roman" w:hAnsi="Times New Roman"/>
            <w:sz w:val="28"/>
            <w:szCs w:val="28"/>
          </w:rPr>
          <w:t>Введение</w:t>
        </w:r>
        <w:r>
          <w:rPr>
            <w:rFonts w:ascii="Times New Roman" w:hAnsi="Times New Roman"/>
            <w:sz w:val="28"/>
            <w:szCs w:val="28"/>
          </w:rPr>
          <w:tab/>
        </w:r>
        <w:r>
          <w:rPr>
            <w:rFonts w:ascii="Times New Roman" w:hAnsi="Times New Roman"/>
            <w:sz w:val="28"/>
            <w:szCs w:val="28"/>
          </w:rPr>
          <w:t>3</w:t>
        </w:r>
      </w:hyperlink>
    </w:p>
    <w:p>
      <w:pPr>
        <w:pStyle w:val="1"/>
        <w:tabs>
          <w:tab w:val="right" w:pos="9345" w:leader="dot"/>
        </w:tabs>
        <w:rPr>
          <w:rFonts w:ascii="Times New Roman" w:hAnsi="Times New Roman"/>
          <w:sz w:val="28"/>
          <w:szCs w:val="28"/>
        </w:rPr>
      </w:pPr>
      <w:hyperlink w:anchor="_Toc21428849" w:history="1">
        <w:r>
          <w:rPr>
            <w:rStyle w:val=""/>
            <w:rFonts w:ascii="Times New Roman" w:hAnsi="Times New Roman"/>
            <w:sz w:val="28"/>
            <w:szCs w:val="28"/>
          </w:rPr>
          <w:t>1.Изменения в уголовном законодательстве и проблемы их применения</w:t>
        </w:r>
        <w:r>
          <w:rPr>
            <w:rFonts w:ascii="Times New Roman" w:hAnsi="Times New Roman"/>
            <w:sz w:val="28"/>
            <w:szCs w:val="28"/>
          </w:rPr>
          <w:tab/>
        </w:r>
        <w:r>
          <w:rPr>
            <w:rFonts w:ascii="Times New Roman" w:hAnsi="Times New Roman"/>
            <w:sz w:val="28"/>
            <w:szCs w:val="28"/>
          </w:rPr>
          <w:t>5</w:t>
        </w:r>
      </w:hyperlink>
    </w:p>
    <w:p>
      <w:pPr>
        <w:pStyle w:val="1"/>
        <w:tabs>
          <w:tab w:val="right" w:pos="9345" w:leader="dot"/>
        </w:tabs>
        <w:rPr>
          <w:rFonts w:ascii="Times New Roman" w:hAnsi="Times New Roman"/>
          <w:sz w:val="28"/>
          <w:szCs w:val="28"/>
        </w:rPr>
      </w:pPr>
      <w:hyperlink w:anchor="_Toc21428850" w:history="1">
        <w:r>
          <w:rPr>
            <w:rStyle w:val=""/>
            <w:rFonts w:ascii="Times New Roman" w:hAnsi="Times New Roman"/>
            <w:sz w:val="28"/>
            <w:szCs w:val="28"/>
          </w:rPr>
          <w:t>2.Реформа в уголовном законодательстве в 2018 году</w:t>
        </w:r>
        <w:r>
          <w:rPr>
            <w:rFonts w:ascii="Times New Roman" w:hAnsi="Times New Roman"/>
            <w:sz w:val="28"/>
            <w:szCs w:val="28"/>
          </w:rPr>
          <w:tab/>
        </w:r>
        <w:r>
          <w:rPr>
            <w:rFonts w:ascii="Times New Roman" w:hAnsi="Times New Roman"/>
            <w:sz w:val="28"/>
            <w:szCs w:val="28"/>
          </w:rPr>
          <w:t>9</w:t>
        </w:r>
      </w:hyperlink>
    </w:p>
    <w:p>
      <w:pPr>
        <w:pStyle w:val="1"/>
        <w:tabs>
          <w:tab w:val="right" w:pos="9345" w:leader="dot"/>
        </w:tabs>
        <w:rPr>
          <w:rFonts w:ascii="Times New Roman" w:hAnsi="Times New Roman"/>
          <w:sz w:val="28"/>
          <w:szCs w:val="28"/>
        </w:rPr>
      </w:pPr>
      <w:hyperlink w:anchor="_Toc21428851" w:history="1">
        <w:r>
          <w:rPr>
            <w:rStyle w:val=""/>
            <w:rFonts w:ascii="Times New Roman" w:hAnsi="Times New Roman"/>
            <w:bCs/>
            <w:iCs/>
            <w:sz w:val="28"/>
            <w:szCs w:val="28"/>
          </w:rPr>
          <w:t>3. Проблема обратной силы закона</w:t>
        </w:r>
        <w:r>
          <w:rPr>
            <w:rFonts w:ascii="Times New Roman" w:hAnsi="Times New Roman"/>
            <w:sz w:val="28"/>
            <w:szCs w:val="28"/>
          </w:rPr>
          <w:tab/>
        </w:r>
        <w:r>
          <w:rPr>
            <w:rFonts w:ascii="Times New Roman" w:hAnsi="Times New Roman"/>
            <w:sz w:val="28"/>
            <w:szCs w:val="28"/>
          </w:rPr>
          <w:t>11</w:t>
        </w:r>
      </w:hyperlink>
    </w:p>
    <w:p>
      <w:pPr>
        <w:pStyle w:val="1"/>
        <w:tabs>
          <w:tab w:val="right" w:pos="9345" w:leader="dot"/>
        </w:tabs>
        <w:rPr>
          <w:rFonts w:ascii="Times New Roman" w:hAnsi="Times New Roman"/>
          <w:sz w:val="28"/>
          <w:szCs w:val="28"/>
        </w:rPr>
      </w:pPr>
      <w:hyperlink w:anchor="_Toc21428852" w:history="1">
        <w:r>
          <w:rPr>
            <w:rStyle w:val=""/>
            <w:rFonts w:ascii="Times New Roman" w:hAnsi="Times New Roman"/>
            <w:bCs/>
            <w:iCs/>
            <w:sz w:val="28"/>
            <w:szCs w:val="28"/>
          </w:rPr>
          <w:t>4.Проблема избирательности правосудия</w:t>
        </w:r>
        <w:r>
          <w:rPr>
            <w:rFonts w:ascii="Times New Roman" w:hAnsi="Times New Roman"/>
            <w:sz w:val="28"/>
            <w:szCs w:val="28"/>
          </w:rPr>
          <w:tab/>
        </w:r>
        <w:r>
          <w:rPr>
            <w:rFonts w:ascii="Times New Roman" w:hAnsi="Times New Roman"/>
            <w:sz w:val="28"/>
            <w:szCs w:val="28"/>
          </w:rPr>
          <w:t>12</w:t>
        </w:r>
      </w:hyperlink>
    </w:p>
    <w:p>
      <w:pPr>
        <w:pStyle w:val="1"/>
        <w:tabs>
          <w:tab w:val="right" w:pos="9345" w:leader="dot"/>
        </w:tabs>
        <w:rPr>
          <w:rFonts w:ascii="Times New Roman" w:hAnsi="Times New Roman"/>
          <w:sz w:val="28"/>
          <w:szCs w:val="28"/>
        </w:rPr>
      </w:pPr>
      <w:hyperlink w:anchor="_Toc21428853" w:history="1">
        <w:r>
          <w:rPr>
            <w:rStyle w:val=""/>
            <w:rFonts w:ascii="Times New Roman" w:hAnsi="Times New Roman"/>
            <w:sz w:val="28"/>
            <w:szCs w:val="28"/>
          </w:rPr>
          <w:t>Заключение</w:t>
        </w:r>
        <w:r>
          <w:rPr>
            <w:rFonts w:ascii="Times New Roman" w:hAnsi="Times New Roman"/>
            <w:sz w:val="28"/>
            <w:szCs w:val="28"/>
          </w:rPr>
          <w:tab/>
        </w:r>
        <w:r>
          <w:rPr>
            <w:rFonts w:ascii="Times New Roman" w:hAnsi="Times New Roman"/>
            <w:sz w:val="28"/>
            <w:szCs w:val="28"/>
          </w:rPr>
          <w:t>17</w:t>
        </w:r>
      </w:hyperlink>
    </w:p>
    <w:p>
      <w:pPr>
        <w:pStyle w:val="1"/>
        <w:tabs>
          <w:tab w:val="right" w:pos="9345" w:leader="dot"/>
        </w:tabs>
      </w:pPr>
      <w:hyperlink w:anchor="_Toc21428854" w:history="1">
        <w:r>
          <w:rPr>
            <w:rStyle w:val=""/>
            <w:rFonts w:ascii="Times New Roman" w:hAnsi="Times New Roman"/>
            <w:sz w:val="28"/>
            <w:szCs w:val="28"/>
          </w:rPr>
          <w:t>Список литературы</w:t>
        </w:r>
        <w:r>
          <w:rPr>
            <w:rFonts w:ascii="Times New Roman" w:hAnsi="Times New Roman"/>
            <w:sz w:val="28"/>
            <w:szCs w:val="28"/>
          </w:rPr>
          <w:tab/>
          <w:t>21</w:t>
        </w:r>
      </w:hyperlink>
      <w:r>
        <w:fldChar w:fldCharType="end"/>
      </w:r>
    </w:p>
    <w:p>
      <w:r/>
    </w:p>
    <w:p>
      <w:pPr>
        <w:ind w:firstLine="709"/>
        <w:spacing w:after="0" w:line="360" w:lineRule="auto"/>
        <w:contextualSpacing/>
        <w:jc w:val="both"/>
        <w:outlineLvl w:val="0"/>
        <w:rPr>
          <w:rFonts w:ascii="Times New Roman" w:hAnsi="Times New Roman"/>
          <w:b/>
          <w:sz w:val="28"/>
          <w:szCs w:val="28"/>
        </w:rPr>
      </w:pPr>
      <w:r/>
      <w:bookmarkStart w:id="1" w:name="_Toc21428848"/>
      <w:bookmarkEnd w:id="1"/>
      <w: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r>
    </w:p>
    <w:p>
      <w:pPr>
        <w:ind w:firstLine="709"/>
        <w:spacing w:after="0" w:line="360" w:lineRule="auto"/>
        <w:contextualSpacing/>
        <w:jc w:val="both"/>
        <w:outlineLvl w:val="0"/>
        <w:rPr>
          <w:rFonts w:ascii="Times New Roman" w:hAnsi="Times New Roman"/>
          <w:b/>
          <w:sz w:val="28"/>
          <w:szCs w:val="28"/>
        </w:rPr>
      </w:pPr>
      <w:r>
        <w:rPr>
          <w:rFonts w:ascii="Times New Roman" w:hAnsi="Times New Roman"/>
          <w:b/>
          <w:sz w:val="28"/>
          <w:szCs w:val="28"/>
        </w:rPr>
        <w:t xml:space="preserve">Введение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Анализ действующего уголовного законодательства Российской Федерации позволяет выявить ряд проблем, решение которых определяет возможность повышения эффективности правоприменительной практики.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Некоторые из этих проблем включают в себя:</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Наличие в Уголовном кодексе Российской Федерации значительного количества общих норм при отсутствии уголовно-правовых оснований для их применения;</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Нестабильность уголовного законодательства и законодательства, нормы которого определяют и раскрывают содержание признаков, не определенных в общих нормах Уголовного кодекса Российской Федерации;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Недостаточное системное законодательство Российской Федерации, с одной стороны, в рамках Уголовного кодекса Российской Федерации и, с другой, уголовного права и норм других отраслей законодательства;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Неточность и неопределенность формулировки уголовного закона;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Отсутствие определения соотношения уголовного права как общего и особенного;</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Несостоятельность уголовного законодательства;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Установление в Уголовном кодексе норм, которые не применяются в следственной и судебной практике;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Отсутствие в Уголовном кодексе ряда необходимых пояснительных норм.</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Первой из этих проблем является наличие в Уголовном кодексе России значительного количества общих норм, то есть норм, содержание которых раскрывается путем ссылки на нормы других отраслей права. Как правило, это многочисленные законы и другие нормативные правовые акты, регулирующие общественные отношения, которые различны по своему характеру и содержанию. Общие нормы содержатся в более чем половине статей Уголовного кодекса Российской Федерации.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Эта проблема, в свою очередь, включает в себя три проблемы: законодательную, правоохранительную и научную [1, с. 189].</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Законодательная проблема заключается в том, что в Уголовном кодексе Российской Федерации, во-первых, нет законодательной базы для применения других законов и (или) нормативных правовых актов, упомянутых или подразумеваемых в общих нормах Уголовного кодекса Российской Федерации. то есть законодательная база для применения общих норм Уголовного кодекса Российской Федерации; во-вторых, применение таких норм, строго следуя букве закона, противоречит норме, установленной в части 1 статьи 3 Уголовного кодекса, определяющей принцип законности и, в-третьих, основание уголовной ответственности в ст. , 8 УК РФ определяется без учета наличия значительного количества общих норм в УК РФ. Вышеуказанные положения являются существенными пробелами в Уголовном кодексе Российской Федерации [5].</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Отсутствие законодательной базы для применения общих норм Уголовного кодекса Российской Федерации подтверждается анализом ст. 1 УК РФ. Согласно части 1 этой статьи, уголовное право России состоит из Уголовного кодекса Российской Федерации. Новые законы, предусматривающие уголовную ответственность, должны быть включены в Уголовный кодекс Российской Федерации. Согласно части 2 этой статьи Уголовный кодекс Российской Федерации основан на Конституции Российской Федерации и общепризнанных принципах и нормах международного права.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 то же время вышеупомянутые и другие статьи Уголовного кодекса Российской Федерации не содержат нормы, устанавливающей общее положение, согласно которому Уголовный кодекс Российской Федерации также основан на других неуголовных законах и (или) других Нормативные правовые акты, ссылки на которые сделаны или подразумеваются в незаполненных стандартах Уголовного кодекса Российской Федерации.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b/>
          <w:sz w:val="28"/>
          <w:szCs w:val="28"/>
        </w:rPr>
      </w:pPr>
      <w:r/>
      <w:bookmarkStart w:id="2" w:name="_Toc21428849"/>
      <w:bookmarkEnd w:id="2"/>
      <w:r/>
      <w:r>
        <w:rPr>
          <w:rFonts w:ascii="Times New Roman" w:hAnsi="Times New Roman"/>
          <w:b/>
          <w:sz w:val="28"/>
          <w:szCs w:val="28"/>
        </w:rPr>
        <w:t>1.</w:t>
      </w:r>
      <w:r>
        <w:rPr>
          <w:rFonts w:ascii="Times New Roman" w:hAnsi="Times New Roman"/>
          <w:b/>
          <w:sz w:val="28"/>
          <w:szCs w:val="28"/>
        </w:rPr>
        <w:t>Изменения в уголовном законодательстве и проблемы их применения</w:t>
      </w:r>
      <w:r>
        <w:rPr>
          <w:rFonts w:ascii="Times New Roman" w:hAnsi="Times New Roman"/>
          <w:b/>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11 марта текущего года вступил в силу Федеральный закон N 26-ФЗ "О внесении изменений в Уголовный кодекс РФ" о либерализации уголовного законодательства. В частности, закон устанавливает, что общая "типовая санкция" в виде лишения свободы применяется главным образом за преступления средней тяжести, тяжкие и особо тяжкие.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 учетом этого, по 68 составам преступлений, предусмотренным Уголовным кодексом Российской Федерации, исключены нижние пределы санкций в виде лишения свободы. Теперь наказание в виде лишения свободы начинается от 2-х месяцев. При этом верхние пределы, определяющие степень общественной опасности преступления, остались неизменными. Тем самым суду предоставляется возможность проявлять более дифференцированный подход при назначении наказания. Также Федеральным законом вносятся иные изменения, предоставляющие судам большую вариативность при назначении наказаний, не связанных с лишением свободы.</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Согласно статье 10 Уголовного кодекса Российской Федерации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 соответствии с частью второй статьи 10 УК РФ и Постановлением Конституционного Суда Российской Федерации от 20 апреля 2006 года № 4-П в связи с изданием нового уголовного закона, смягчающего ответственность осуждённого за совершённое им преступление, назначенное ему наказание подлежит сокращению.</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Содержащееся в ней предписание о смягчении назначенного по приговору суда наказания в пределах, предусмотренных новым уголовным законом, предполагает применение общих начал назначения наказания, предусмотренных как особенной, так и общей частей норм Уголовного кодекса Российской Федерации.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Сегодня, в отсутствие эффективного механизма судебного пересмотра приговоров, при практически полной неработоспособности института помилования, при всеобщем обвинительном и самое главное карательном уклоне правоохранительных и судебных органов, инициативы, направленные на изменение уголовного законодательства, прагматизации и частично либерализации наказаний, особенно по экономическим составам преступлений, исключительно правильны, оправданы и  как нельзя своевременны, учитывая сегодняшнюю действительность.</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Сегодня готовится ещё один пакет новелл. Их можно условно разделить на несколько групп. Во-первых, всё-таки предлагается вернуться к идее декриминализации некоторых составов преступлений, которые сегодня являются уголовно наказуемыми деликтами, но, по сути, тяготеют к группе административных правонарушений и по своей тяжести, и по своей опасности, и, самое главное, по сегодняшнему применению этих норм. И таким образом, ряд составов уголовных преступлений должны перейти в Административный кодекс, чтобы наказываться далее в порядке административной практики.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Второе, что предлагается сделать, – это изменить порядок применения некоторых составов преступлений, таких, например, как так называемая «товарная контрабанда», когда через таможенную границу перемещаются товары и предметы, разрешённые к обороту. То есть объектом преступления выступает не столько безопасность государства, когда страдают от ввоза оружия, наркотиков, иных запрещённых к употреблению предметов, а страдает финансовая система страны, то есть не уплачиваются таможенные платежи. Предлагается несколько реструктурировать ответственность по этим составам, с тем чтобы отвечали за реальную опасность и за реальный ущерб, которые наносятся государству и обществу.</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Предлагаются дополнительные виды наказаний, причём вид наказаний, который звучал в качестве рекомендаций в одном из посланий Президента Федеральному Собранию, – так называемые принудительные работы. Сегодня предлагается эту меру поставить в линейку так называемых альтернативных наказаний, то есть наказаний, не связанных с изоляцией от общества. Хотя, по сути, эта мера будет находиться на некой грани между обязательными работами, штрафами, исправительными работами и так далее, с одной стороны, с другой стороны, лишением свободы. То есть те, кто будут осуждены к этому виду наказания, будут находиться в специализированных исправительных центрах, но при этом на гораздо более мягком режиме, чем режим лишения свободы.</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Главной идеей всех этих изменений, всех этих новелл, является то, чтобы у судов было гораздо больше возможностей для назначения наказания, соразмерного тяжести преступления, опасности виновного, его отношения к содеянному.</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Сегодняшняя практика, которая, естественно, выстроена на действующий закон, далеко не всегда так гибко и так адекватно может реагировать на реальные и индивидуальные ситуации. Надо ещё понимать, что одно лишь ужесточение наказаний, направление новых и новых десятков тысяч людей в тюрьмы на долгие сроки – это не решение проблемы, в том числе, преступности и криминогенной ситуации. Дело в том, что все эти люди, которые сегодня удалены в места лишения свободы, вернувшись через годы в общество, будут в разы более опасны, чем они опасны даже сегодня. И естественно, нужно понимать, что сегодняшние новеллы, которые предлагает Президент, которые подготовлены Министерством юстиции и Администрацией Президента, должны и будут применяться сугубо дифференцированно. То есть люди по-настоящему опасные, по-настоящему тяжко преступившие закон, будут получать максимально строгие и суровые виды наказания. В то же время те, кто менее опасен, смогут получать наказание, соразмерное их вине и их преступлениям. Лица же впервые осужденные за совершение некоторых не особо опасных преступлений, в том числе и отбывающие в настоящее время наказание, получат шанс сократить свои сроки наказаний и быстрее вернуться к нормальной жизни.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Зачем, например, держать в тюрьмах лиц, впервые совершивших экономические преступления по 7 или 8 лет? Ведь даже и 2-3 года, проведенные в изоляции, вполне ощутимое и достаточное наказание. Ведь главная цель – это исправление, а не наоборот, превращение впервые оступившихся в закоренелых уголовников, впитавших в себя многолетнюю атмосферу лагерной жизни.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 этом и заключается основная идея проводимой сегодня уголовно-судебной реформы.</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Это коснулось различных сфер: страхования, предпринимательства, компьютеризации, кредитования и платежных карт. Статья 303 УК РФ также пополнилась корректировками. При фальсификации оперативных материалов и доказательств сотрудники МВД будут нести ответственность. Для этого необходимо получить от потерпевшего заявление для возбуждения дела по статье мошенничества. Ранее дела возбуждали правоохранительные органы при необходимости.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Политические деятели согласны с увеличением заработных плат, в связи с тем, что данная организация является особым органом, который отвечает за правопорядок и на нем находится достаточно внушительная нагрузка. Следовательно, заработная плата должна соответствовать возложенным требованиям на орган. Кроме того чиновники задумались над тем, чтобы выделить ФСИН из общей структуры правоохранительных органов, согласно Реформы ФСИН 2018 года и предоставить им особый статус. Это обусловлено тем, что деятельность данной организации ничем не связана и не похожа на деятельность, которая проводится в правоохранительных органах.</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Чиновники рассматривают несколько вариантов развития событий, для того чтобы потери в составе были минимальными. Часть чиновников предложила уменьшить оклады правительственной верхушки и переправить часть этих средств на повышение жалования служащему и рядовому составу.</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b/>
          <w:sz w:val="28"/>
          <w:szCs w:val="28"/>
        </w:rPr>
      </w:pPr>
      <w:r/>
      <w:bookmarkStart w:id="3" w:name="_Toc21428850"/>
      <w:bookmarkEnd w:id="3"/>
      <w:r/>
      <w:r>
        <w:rPr>
          <w:rFonts w:ascii="Times New Roman" w:hAnsi="Times New Roman"/>
          <w:b/>
          <w:sz w:val="28"/>
          <w:szCs w:val="28"/>
        </w:rPr>
        <w:t>2.</w:t>
      </w:r>
      <w:r>
        <w:rPr>
          <w:rFonts w:ascii="Times New Roman" w:hAnsi="Times New Roman"/>
          <w:b/>
          <w:sz w:val="28"/>
          <w:szCs w:val="28"/>
        </w:rPr>
        <w:t>Реформа в уголовном законодательстве в 2018 году</w:t>
      </w:r>
      <w:r>
        <w:rPr>
          <w:rFonts w:ascii="Times New Roman" w:hAnsi="Times New Roman"/>
          <w:b/>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Кроме того чиновники заявили, что увольнение будет в первую очередь касаться тех специалистов, которые напрямую не задействованы с функционированием ведомства. Примером являются психологи. Как показывает статистика охранники являются более востребованными, чем психологи.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Поэтому планируется сокращать именно эту отрасль сотрудников. Кроме того планируется увеличить полномочия и обязанности сотрудников.</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Поэтому увеличение заработной платы произойдет непременно. Кроме того для проведения всех этих мероприятий необходимо использование большого количества дополнительных денежных средств, с которыми проблема.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Поэтому придется пожертвовать некоторыми колониями. Гражданам не стоит волноваться, реорганизация колоний будет производится исходя из статистических данных и общей нагрузке. Поэтому правительство будет стараться выполнить мероприятия менее безболезненно для кадрового состава.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Политики считают правильным увеличение окладов для сотрудников Федеральной службы исполнения наказаний, так как это особая структура, которая отвечает за порядок в стране. Власти России решили выделить организацию из подчинения Министерства юстиции и дать ей особый статус.</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 соответствии с Бюджетом-2018 долгожданная индексация заработных плат сотрудникам ФСИН произойдёт в том же порядке, что и военнослужащим, а также сотрудникам Росгвардии, МВД и других силовых ведомств Российской Федерации. Размер повышения оклада денежного содержания сотрудников ФСИН с 1 января 2018 года составит 4%.</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Текущее увеличение зарплаты не единственное – в соответствии с плановым Бюджетом на 2019 и 2020 годы произойдут еще 2 индексации. Всего на эти цели для ФСИН в Федеральном Бюджете запланировано: 2018 год — 4,4 млрд руб. 2019 год — 5,6 млрд руб. 2020 год — 10,4 млрд руб.</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Закажите предоплаченные подарочные карты За незаконный доступ к компьютерной информации, которая находится под охраной, а также использование информации или компьютерных программ и причинение вреда критической инфраструктуре, предусматривается наказание в виде лишения свободы сроком до 6 лет и штрафом в 1 миллион рублей. Если гражданин нарушил правила использования средств хранения, передачи и обработки охраняемой компьютерной информации, которые входят в критическую информационную инфраструктуру, что в последствие привело к причинению вреда, он лишается свободы до 6 лет и осуществлять деятельность на определенной должности в течение 3 лет запрещено.</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Наказание предусмотрено и для группы лиц, которые совершили вышеперечисленные действия, что привело к тяжким последствиям. Ответственность за нарушения в сфере оборота алкогольной продукции и этилового спирта ужесточена.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Вы сможете решить проблему гораздо быстрее, если закажете обратный звонок Поэтому уже ни для кого не секрет и многие знают о том, что в ФСИН планируется увеличение заработных плат. Это произойдет вследствие того, что не так давно государственным правительством было осуществлено урезание государственных выплат из казны. Суть нового законопроекта состоит в повышении ставки представителям данной сферы. Благодаря данной корректировке возможно будет преодолеть огромную пропасть, которая находится между заработными платами начальников и обычных государственных служащих. Данная пропасть не способствует взаимопониманию сотрудников и усложняет условия работы, а следовательно влияет на эффективность условий труда. Полностью предотвратить разрыв не удастся, но хотя бы будет возможность его минимизации.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Также законодатели изменили редакцию статьи 258.1 УК РФ, которая предусматривает ответственность за незаконные добычу и оборот особо ценных диких животных и водных биологических ресурсов. В нее добавлен подпункт «б» во вторую часть, в соответствии с которым такая добыча наказывается строже, если она была совершена с публичной демонстрацией в СМИ или интернете.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Однако, главный механизм, способный как придать реформам быстрое движение, так и существенно затормозить их ход, а то и вообще сделать все усилия бессмысленными – это как раз судебная власть. Дело в том, что наши суды панически боятся применять даже уже принятые поправки.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А проблемы правоприменения действительно существуют и таких проблем несколько.</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sz w:val="28"/>
          <w:szCs w:val="28"/>
        </w:rPr>
      </w:pPr>
      <w:r/>
      <w:bookmarkStart w:id="4" w:name="_Toc21428851"/>
      <w:bookmarkEnd w:id="4"/>
      <w:r/>
      <w:r>
        <w:rPr>
          <w:rFonts w:ascii="Times New Roman" w:hAnsi="Times New Roman"/>
          <w:b/>
          <w:bCs/>
          <w:iCs/>
          <w:sz w:val="28"/>
          <w:szCs w:val="28"/>
        </w:rPr>
        <w:t xml:space="preserve">3. </w:t>
      </w:r>
      <w:r>
        <w:rPr>
          <w:rFonts w:ascii="Times New Roman" w:hAnsi="Times New Roman"/>
          <w:b/>
          <w:bCs/>
          <w:iCs/>
          <w:sz w:val="28"/>
          <w:szCs w:val="28"/>
        </w:rPr>
        <w:t>Проблема обратной силы закона</w:t>
      </w: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На сегодняшний день отсутствует механизм практического применения вступающих в силу изменений в уголовный закон судами в части сокращения сроков уже осужденных.</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Например, осужденные, отбывающие наказание имеют право обратиться в суд по месту своего нахождения с ходатайством о приведении в соответствие их приговоров (в связи с изменениями в уголовном законодательстве). И таких дел, по всей видимости, будут десятки тысяч в короткий промежуток времени. По идее, если осужденному назначили наказание в виде 2-х лет лишения свободы (по статье, где нижний предел и был 2 года, т.е. от 2 до 7 лет, например) или 6 лет лишения свободы (по статье УК, где был порог от 5 до 10 лет), а по новому закону становится от 2-х месяцев, то получается, что если раньше считалось, что таким осужденным назначили наказание близкое к минимальному, то по новому закону становится уже совсем не минимально, т.е. наказание в принципе должно снижаться судами. Но вопрос, какую методику выбрать? Путем математического процентного вычета или, например, по принципу каждое дело - индивидуальное? По идее, правильней конечно второе, ибо каждое преступление индивидуальное, и следовательно, должен быть индивидуальный подход к назначению наказания в каждом конкретном случае (учитывая обстоятельства, личность виновного, масштаб наступивших последствий и т.п..). Но в этом случае может получится крайне опасная практика, т.к. по одной и той же ситуации (или даже делу) возможно непропорциональное наказание, вообще не отвечающее принципам справедливости.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Особенно по делам, где несколько обвиняемых (осужденных). Представим себе ситуацию, что одному соучастнику в местном суде снизили срок наказания с 8 до 4-х лет лишения свободы, а например другому соучастнику в другом регионе снизят с 7 до 6 лет лишения свободы. И получится весьма интересная картина.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Одному изначально назначили наказание в виде 8-ми лет лишения свободы, а стало 4, а другому назначили 7 лет, а стало, например 6 лет (а преступление одно и то же, только у первого соучастника например была более активная роль в его совершении). Дело в том, что местные суды в регионах абсолютно никак не пересекаются между собой (т.е. могут вообще не знать о втором или третьем соучастнике, которому уже снизили срок применив обратную силу нового уголовного закона).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sz w:val="28"/>
          <w:szCs w:val="28"/>
        </w:rPr>
      </w:pPr>
      <w:r/>
      <w:bookmarkStart w:id="5" w:name="_Toc21428852"/>
      <w:bookmarkEnd w:id="5"/>
      <w:r/>
      <w:r>
        <w:rPr>
          <w:rFonts w:ascii="Times New Roman" w:hAnsi="Times New Roman"/>
          <w:b/>
          <w:bCs/>
          <w:iCs/>
          <w:sz w:val="28"/>
          <w:szCs w:val="28"/>
        </w:rPr>
        <w:t>4.</w:t>
      </w:r>
      <w:r>
        <w:rPr>
          <w:rFonts w:ascii="Times New Roman" w:hAnsi="Times New Roman"/>
          <w:b/>
          <w:bCs/>
          <w:iCs/>
          <w:sz w:val="28"/>
          <w:szCs w:val="28"/>
        </w:rPr>
        <w:t>Проб</w:t>
      </w:r>
      <w:r>
        <w:rPr>
          <w:rFonts w:ascii="Times New Roman" w:hAnsi="Times New Roman"/>
          <w:b/>
          <w:bCs/>
          <w:iCs/>
          <w:sz w:val="28"/>
          <w:szCs w:val="28"/>
        </w:rPr>
        <w:t>лема избирательности правосудия</w:t>
      </w: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На сегодняшний день эта проблема стоит наиболее остро и еще более может усугубиться за счет большого разрыва между нижним и верхним порогом санкции той или иной статьи УК. Достаточно много примеров, когда, по сути, за одно и то же преступление (например, кражу ст.158 УК РФ) назначается совершенно различное наказание: один украл банку огурцов и мешок картошки из погреба и получил за свое злодеяние 2 года лишения свободы, другой украл барсетку с 200 000 рублями (что еще не является по закону крупным размером) и получил наказание в виде тех же 2-х лет, но условно. Можно взять и более наглядные примеры: С. Мавроди по делу известной финансовой пирамиды АО «МММ» (ст. 159) получил 4 с половиной года лишения свободы; Б. Березовский по делу о хищении в компании АО «Аэрофлот» (ст. 159 ч.4 УК) получил 6 лет лишения свободы, правда, заочно; Это с одной стороны, и можно привести несколько десятков никому неизвестных фамилий осужденных по той же ст. 159 УК РФ, приговоренных и к 6 с половиной и к 7 годам лишения свободы, но по масштабам ущерба и последствиям от совершенных преступлений куда более значительно уступающих. Теперь же с отменой нижнего порога наказаний, избирательность правосудия может еще более усилится. И приговоры в виде 2 с половиной лет лишения свободы (за 1-го сбитого насмерть и одного искалеченного человека) с отсрочкой приговора на 14 лет, может показаться еще цветочками по сравнению с предстоящим применением нашими судами вариативности при назначении наказаний.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 другой стороны, вариативность конечно необходима, ибо необходим строго индивидуальный подход при назначении наказания.  По каждому конкретному делу необходимо всестороннее и объективное разбирательство. Без этого не обойтись. Просто происходящее изменение уголовного законодательства рассчитано на честных и справедливых судей. Судей профессиональных и действительно независимых. Судей, адекватно воспринимающих действительность. Судей, которые, назначая те или иные сроки наказания, понимают, что 6, 7 или 8 лет лишения свободы - это не просто цифры. За каждой такой цифрой стоят жизни и судьбы людей. Живых людей. В первую очередь.</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Немало дискуссий вызывает и другой обязательный элемент субъекта преступления. Возраст, установленный законодательством и определяющий момент, с наступлением которого лицо несет уголовную ответственность за совершенные им противоправные деяния. Согласно ст. 20 УК РФ уголовной ответственности подлежит лицо, достигшее ко времени совершения преступления 16-летнего возраста. Многие современные исследователи и правоведы высказываются о необходимости снижения минимального возраста уголовной ответственности в Российской Федерации с учетом складывающихся в обществе социальных и культурных факторов. Такую новеллу предлагают и законодатели.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Границы возраста уголовной ответственности в законодательстве разных стран варьируются от пяти до семнадцати лет в зависимости от правовых, социальных и политических традиций конкретного государства. В правовом регулировании возраста имеются существенные различия, что особенно касается вопросов определения минимального возрастного порога уголовной ответственности.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Так например, в большинстве систем уголовного законодательства содержаться нормы, фиксирующие минимальный возрастной признак субъекта преступления. Французское законодательство, например, следует правилу судебного усмотрения.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Оно не предусматривает четкого определения минимальной возрастной границы субъекта, так как считается, что только судебное исследование способно учесть всё многообразие жизненных ситуаций и индивидуальных особенностей каждого конкретного ребенка и определить наличие способности к виновной ответственности. Даже в странах, где законодательно закреплены возрастные границы, наблюдаются существенные различия в определении минимального возраста субъекта преступления: от 7-10 лет до 16-18 лет.</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Таким образом, обобщив сложный, противоречивый характер критериев, которыми руководствуются законодатели различных государств в выборе возрастных границ ответственности несовершеннолетних, уместно воспользоваться высказыванием известного русского юриста начала 20 века С.А. Гуревича, о том, что в любой стране решение данного вопроса связано с произволом законодателя. Анализируя подходы зарубежного уголовного законодательства к данной проблеме, можно сделать вывод о том, что под влиянием негативного развития преступности несовершеннолетних в последнее десятилетие в законодательстве и практике западных стран наметился отход от защитной, покровительственной тенденции. Процесс определения минимального возрастного порога уголовной ответственности подчинен цели укрепления общественной безопасности, в связи с чем прослеживается усиление наказуемости совершения особо тяжких и тяжких преступлений, преступлений в условиях рецидива, организованных форм преступной деятельности.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Но преследуя интересы общества по обеспечению стабильности и безопасности его функционирования, необходимо строго придерживаться принципов защиты законных прав личности. С учетом изложенного минимальный возраст уголовной ответственности не должен закрепляться на низком уровне возрастного развития личности.[4]</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Некоторые сложности в законодательной практике зарубежных государств вызывает задача формирования признаков субъекта преступлений против порядка управления, а именно: выделение составов деяний, где в отличие от общего множества субъект преступления наделен специфичными чертами, т. е. выступает в качестве специального. Чаще всего специальный субъект преступления наблюдается в нормах, описывающих деяния, которые заключаются в уклонении от прохождения военной службы, разглашении сведений о мерах безопасности, применяемых в отношении представителя власти и дезорганизации деятельности учреждений, обеспечивающих изоляцию от общества.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Отсутствие до настоящего времени теоретико-методологического и системного анализа основных аспектов учения о субъекте преступления не позволило иметь комплексное представление о данном учении и определить наиболее правильные подходы в его совершенствовании как у нас в стране, так и за рубежом.</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Однако не менее важными, определяющими структуру и содержание работы, были изучение и анализ не только  законодательных новелл, регулирующих вопросы  привлечения лица, совершившего преступление, к уголовной ответственности, но и исследование обстоятельств, исключающих признание его субъектом преступления. При этом исследование указанных и других сложнейших проблем, связанных с субъектом преступления и уголовной ответственностью в российском уголовном праве, имеет не только большое теоретическое, но и практическое значение.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Следует констатировать, что наряду с разнообразием ключевых проблем в уголовном законодательстве нормы о субъекте преступления имеют первостепенное значение, так как самым тесным образом связаны со многими институтами уголовного права, которые требуют своего совершенствования. В свою очередь, рассмотрение разных аспектов учения о субъекте преступления дает возможность определить общетеоретические и практические подходы в его дальнейшем изучении.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Проблемы возраста и вменяемости преступника с учетом кардинальных изменений в действующем уголовном законодательстве и практике его применения диктуют настоятельную необходимость их комплексного изучения не только учеными-юристами, но и представителями других наук, специалистами в самых различных областях знаний. [5]</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Особо следует сказать, что актуальность вопросов о субъекте преступления в уголовном праве не теряет значимости и в наши дни. Любое учение требует своего развития, более глубокого теоретического осмысления с позиций современных  реалий и трудностей  сегодняшнего дня, а законодательство совершенствования. В данном случае не будет исключением и учение о субъекте преступления в уголовном праве на современном этапе развития российского государства.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b/>
          <w:sz w:val="28"/>
          <w:szCs w:val="28"/>
        </w:rPr>
      </w:pPr>
      <w:r/>
      <w:bookmarkStart w:id="6" w:name="_Toc21428853"/>
      <w:bookmarkEnd w:id="6"/>
      <w:r/>
      <w:r>
        <w:rPr>
          <w:rFonts w:ascii="Times New Roman" w:hAnsi="Times New Roman"/>
          <w:b/>
          <w:sz w:val="28"/>
          <w:szCs w:val="28"/>
        </w:rPr>
        <w:t>Заключение</w:t>
      </w:r>
      <w:r>
        <w:rPr>
          <w:rFonts w:ascii="Times New Roman" w:hAnsi="Times New Roman"/>
          <w:b/>
          <w:sz w:val="28"/>
          <w:szCs w:val="28"/>
        </w:rPr>
        <w:t xml:space="preserve"> </w:t>
      </w:r>
      <w:r>
        <w:rPr>
          <w:rFonts w:ascii="Times New Roman" w:hAnsi="Times New Roman"/>
          <w:b/>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Научная проблема выражается в том, что установление на основе и в результате анализа всех норм Уголовного кодекса Российской Федерации большого количества общих в нем норм приводит к гипотезе или даже к Сделан вывод о наличии двух разновидностей уголовного права: чистого, состоящего из совокупности определенных и оценочных норм Уголовного кодекса Российской Федерации, и сложного (смешанного), включающего совокупность общих норм Уголовного кодекса Российской Федерации. , Данная ситуация определяет и обосновывает утверждение и необходимость решения проблемы увеличения объема и содержания теории отечественного уголовного права и, соответственно, объема, содержания и методов его изучения и преподавания, в частности, с привлечением ученые, специализирующиеся в других отраслях права.</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Второй из актуальных проблем, выявленных вначале, является нестабильность уголовного законодательства и законодательства, нормы которого определяют и раскрывают содержание признаков, не определенных в общих нормах Уголовного кодекса Российской Федерации. Это проявляется во внесении многочисленных изменений и дополнений в законодательство. Таким образом, за период его действия в Уголовный кодекс Российской Федерации были внесены поправки более чем в сорок законов, причем в один и тот же день три закона были приняты дважды, а девять - два закона. Нестабильность закона отрицательно влияет как на правоприменение, так и на соблюдение.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Третья проблема - несогласованность в законодательстве Российской Федерации, проявляющаяся, например, в неравных определениях должностного лица и представителя органов власти соответственно в примечании 1 к ст. 285 и примечания к ст. 318 УК РФ, в примечании к статье 2.4 КоАП РФ [3]; в редакции ч. 1 ст. 172 Уголовного кодекса РФ «лицензионные требования и условия» обозначают как единое целое и должны быть определены в специальном законодательстве о банках и банковской деятельности, которое не определено в этом законодательстве и т. Д.</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Четвертая проблема - неточность и неопределенность формулировок уголовного закона. Неточность иная, например, норма, предусмотренная ч. 1 ст. 105 Уголовного кодекса, в котором убийство определяется как преднамеренное причинение смерти другому лицу без указания такого признака как незаконность, что приводит к признанию убийства как преднамеренного причинения смерти в состоянии необходимой защиты, например, неопределенности, Нормы, сформулированные в ст. Искусство. 141.1, 142.1 и некоторые другие статьи Уголовного кодекса Российской Федерации, а также нормы, содержащие такой признак, как совершение деяния «на основе политической, идеологической, расовой, национальной или религиозной ненависти или вражды или на основе ненависти или вражды». против любой социальной группы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 xml:space="preserve">Пятая проблема - отсутствие в Уголовном кодексе Российской Федерации определения соотношения норм уголовного права как общих и специальных. Необходимость такого определения в Уголовном кодексе Российской Федерации обусловлена </w:t>
      </w:r>
      <w:r>
        <w:rPr>
          <w:rFonts w:ascii="Cambria Math" w:hAnsi="Cambria Math" w:cs="Cambria Math"/>
          <w:sz w:val="28"/>
          <w:szCs w:val="28"/>
        </w:rPr>
        <w:t xml:space="preserve">​​</w:t>
      </w:r>
      <w:r>
        <w:rPr>
          <w:rFonts w:ascii="Times New Roman" w:hAnsi="Times New Roman"/>
          <w:sz w:val="28"/>
          <w:szCs w:val="28"/>
        </w:rPr>
        <w:t xml:space="preserve">тем, что в теории отечественного уголовного права и правоприменительной практики существуют две позиции относительно соотношения норм общего и специального уголовного права, выраженные в виде публикаций или обсуждений ученых или практиков органов дознания, следствия, прокуратуры и суда. </w:t>
      </w:r>
      <w:r>
        <w:rPr>
          <w:rFonts w:ascii="Times New Roman" w:hAnsi="Times New Roman"/>
          <w:sz w:val="28"/>
          <w:szCs w:val="28"/>
        </w:rPr>
        <w:t>Согласно одной из позиций, нормы уголовного права соотносятся как общие и особые, когда все без исключения признаки преступления, предусмотренные специальной нормой, полностью вписываются в соответствующие признаки, предусмотренные общей нормой, и согласно второму не все, а только те, которые являются обязательным</w:t>
      </w:r>
      <w:r>
        <w:rPr>
          <w:rFonts w:ascii="Times New Roman" w:hAnsi="Times New Roman"/>
          <w:sz w:val="28"/>
          <w:szCs w:val="28"/>
        </w:rPr>
        <w:t>и в общем понятии</w:t>
      </w:r>
      <w:r>
        <w:rPr>
          <w:rFonts w:ascii="Times New Roman" w:hAnsi="Times New Roman"/>
          <w:sz w:val="28"/>
          <w:szCs w:val="28"/>
        </w:rPr>
        <w:t>, то есть признаков, характеризующих предмет, действие, общий предмет и вину, с возможностью</w:t>
      </w:r>
      <w:r>
        <w:rPr>
          <w:rFonts w:ascii="Times New Roman" w:hAnsi="Times New Roman"/>
          <w:sz w:val="28"/>
          <w:szCs w:val="28"/>
        </w:rPr>
        <w:t xml:space="preserve"> совпадения и других признаков.</w:t>
      </w: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Правильность той или иной позиции нуждается в подтверждении на законодательном уровне.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Шестая проблема - противоречие уголовного закона. Наиболее ярко это проявляется в исключении из всех статей Особенной части Уголовного кодекса Российской Федерации уголовной ответственности за причинение умеренного вреда здоровью по неосторожности в результате действий и при сохранении его в ст. 124 УК РФ за такое наложение через бездействие, с очевидностью и аксиоматичностью более высокая степень общественной опасности действия по сравнению с бездействием.</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Суть седьмой проблемы - установление в Уголовном кодексе Российской Федерации норм, которые не применяются в следственных действиях и судебной практике. Это многие из норм, предусмотренных в главах 19 и 22 Уголовного кодекса, которые называются «преступления против конституционных прав и свобод человека и гражданина» и «преступления в сфере экономической деятельности», в частности, содержащиеся в Искусство. Искусство. 136-140, 169, 170, 178 и в ряде других статей Уголовного кодекса Российской Федерации. Выявление этой проблемы основано на устных опросах практиков следственных органов и оперативных аппаратов МВД России, а также на анализе положений, вытекающих из содержания отдельных опубликованных работ по теории уголовного права. ,</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Восьмая проблема выражается в отсутствии ряда необходимых пояснительных норм в Уголовном кодексе Российской Федерации. В частности, необходимо прояснить такие понятия Уголовного кодекса Российской Федерации, как мотивы политической, идеологической, расовой, национальной или религиозной ненависти или вражды, ненависти или вражды к какой-либо социальной группе; лицензионные требования и условия в отношении банковской деятельности; государственные и общественные деятели; существенное нарушение прав и законных интересов граждан или организаций [2, с. 7]; Отсутствие таких пояснительных стандартов влечет за собой трудности в применении вышеуказанных понятий в следственной и судебной практике.</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Похоже, что решение этих проблем путем внесения соответствующих корректировок в действующее уголовное законодательство России поможет оптимизировать правоохранительную деятельность в этой части.</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p>
      <w:pPr>
        <w:ind w:firstLine="709"/>
        <w:spacing w:after="0" w:line="360" w:lineRule="auto"/>
        <w:contextualSpacing/>
        <w:jc w:val="both"/>
        <w:outlineLvl w:val="0"/>
        <w:rPr>
          <w:rFonts w:ascii="Times New Roman" w:hAnsi="Times New Roman"/>
          <w:b/>
          <w:sz w:val="28"/>
          <w:szCs w:val="28"/>
        </w:rPr>
      </w:pPr>
      <w:r/>
      <w:bookmarkStart w:id="7" w:name="_Toc21428854"/>
      <w:bookmarkEnd w:id="7"/>
      <w:r/>
      <w:r>
        <w:rPr>
          <w:rFonts w:ascii="Times New Roman" w:hAnsi="Times New Roman"/>
          <w:b/>
          <w:sz w:val="28"/>
          <w:szCs w:val="28"/>
        </w:rPr>
        <w:t>Список литературы</w:t>
      </w:r>
      <w:r>
        <w:rPr>
          <w:rFonts w:ascii="Times New Roman" w:hAnsi="Times New Roman"/>
          <w:b/>
          <w:sz w:val="28"/>
          <w:szCs w:val="28"/>
        </w:rPr>
        <w:t xml:space="preserve"> </w:t>
      </w:r>
      <w:r>
        <w:rPr>
          <w:rFonts w:ascii="Times New Roman" w:hAnsi="Times New Roman"/>
          <w:b/>
          <w:sz w:val="28"/>
          <w:szCs w:val="28"/>
        </w:rPr>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 Борзенков, Г. Н. Преступления против жизни и здоровья. Закон и правоприменительная практика / Г.Н. Борзенков. - М.: Зерцало, 2018. - 256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 Боровиков, В. Б. Сборник задач по уголовному праву. Общая и Особенная части / В.Б. Боровиков. - М.: Юрайт, Юрайт-Издат, 2016. - 336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3. Брагин, А. П. Российское уголовное право / А.П. Брагин. - М.: Университетская книга, 2015. - 638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4. Бриллиантов, А. В. Освобождение от уголовной ответственности. С учетом обобщения судебной практики. Научно-практическое пособие / А.В. Бриллиантов. - М.: Проспект, 2016. - 112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5. Бриллиантов, А.В. Уголовно-исполнительное право в вопросах, ответах и схемах. Учебное пособие / А.В. Бриллиантов. - М.: Проспект, 2016. - 467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6. Голубов, И.И. Уголовная ответственность за преступления против правосудия / И.И. Голубов. - М.: Флинта, Московский психолого-социальный институт (МПСИ), 2015. - 599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7. Зажицкий, В. И. Результаты оперативно-розыскной деятельности в уголовном судопроизводстве / В.И. Зажицкий. - М.: Юридический центр, 2018. - 765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8. Зильберштейн, А. А. Уголовно-исполнительное право. Конспект лекций / А.А. Зильберштейн. - М.: Проспект, 2018. - 220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9. Пикалов, И.А. Уголовно-исполнительное право в схемах и таблицах / И.А. Пикалов. - М.: Эксмо, 2016. - 385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10. Понятия и термины в уголовном праве. Общая и особенная части. Учебное пособие. - М.: Контракт, 2017. - 320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11. Российское уголовное право. Общая часть. Альбом схем. - М.: Щит-М, 2015. - 180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12. Скворцова, С. А. Уголовное право. Общая часть / С.А. Скворцова. - М.: РИОР, Инфра-М, 2016. - 635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13. Теория планирования эксперимента и анализ статистических данных . Учебное пособие. - М.: Юрайт, 2015. - 496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14. Уголовно-процессуальное право Российской Федерации. Учебник. - Москва: Высшая школа, 2018. - 592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15. Уголовное право России. Общая часть. - М.: ИМПЭ, 2018. - 320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16. Уголовное право России. Части общая и особенная. - М.: Проспект, 2015. - 496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17. Уголовное право России.Части общая и особенная.Уч.-2-е изд.-М.:Проспект,2015.. - Москва: Гостехиздат, 2015. - 359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18. Уголовное право Российской Федерации. Общая часть. - Москва: ИЛ, 2018. - 560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19. Уголовное право. Общая часть. Рабочая тетрадь. - М.: Санкт-Петербург, 2015. - 240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20. Уголовное право. Общая часть. Шпаргалка. - М.: Норматика, 2015. - 506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21. Уголовное право. Том 1. Общая часть / Под редакцией А.Э. Жалинского. - М.: Городец, 2016. - 864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22. Уголовное право. Учебник. В 2 томах. Том 2. Особенная часть. - М.: Юрайт, 2015. - 451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23. Уголовный процесс. - М.: Academia, 2015. - 384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24. Уголовный процесс. Учебник. - М.: Проспект, 2015. - 624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25. Фролкин, Н. П. Стадия возбуждения уголовного дела в уголовном судопроизводстве / Н.П. Фролкин, И.В. Шульгин. - М.: Издатель Шумилова И. И., 2016. - 132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26. Цепелев, В.Ф. Квалификация преступлений против порядка управления. Учебное пособие / В.Ф. Цепелев. - М.: Проспект, 2015. - 681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27. Чашин, А. Н. Возбуждение уголовного дела, приостановление, возобновление и окончание предварительного расследования / А.Н. Чашин. - М.: Дело и сервис, 2017. - 566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28. Шатов, Сергей Алексеевич Соучастие в преступлении. Учебное пособие / Шатов Сергей Алексеевич. - М.: Юридический центр Пресс, 2017. - 889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t>29. Шиханов, В. Н. Уголовно-правовая характеристика преступлений против государственной власти, интересов государственной службы и службы в органах местного самоуправления / В.Н. Шиханов. - М.: Wolters Kluwer, 2018. - 168 c.</w:t>
      </w:r>
    </w:p>
    <w:p>
      <w:pPr>
        <w:ind w:firstLine="709"/>
        <w:spacing w:after="0" w:line="360" w:lineRule="auto"/>
        <w:contextualSpacing/>
        <w:jc w:val="both"/>
        <w:rPr>
          <w:rFonts w:ascii="Times New Roman" w:hAnsi="Times New Roman"/>
          <w:sz w:val="28"/>
          <w:szCs w:val="28"/>
        </w:rPr>
      </w:pPr>
      <w:r>
        <w:rPr>
          <w:rFonts w:ascii="Times New Roman" w:hAnsi="Times New Roman"/>
          <w:sz w:val="28"/>
          <w:szCs w:val="28"/>
        </w:rPr>
      </w:r>
    </w:p>
    <w:sectPr>
      <w:footnotePr>
        <w:pos w:val="pageBottom"/>
        <w:numFmt w:val="decimal"/>
        <w:numStart w:val="1"/>
        <w:numRestart w:val="continuous"/>
      </w:footnotePr>
      <w:endnotePr>
        <w:pos w:val="docEnd"/>
        <w:numFmt w:val="decimal"/>
        <w:numStart w:val="1"/>
        <w:numRestart w:val="continuous"/>
      </w:endnotePr>
      <w:footerReference w:type="default" r:id="rId7"/>
      <w:type w:val="nextPage"/>
      <w:pgSz w:h="16838" w:w="11906"/>
      <w:pgMar w:left="1701" w:top="1134" w:right="850" w:bottom="1134" w:footer="708"/>
      <w:paperSrc w:first="0" w:other="0"/>
      <w:titlePg/>
      <w:tmGutter w:val="3"/>
      <w:mirrorMargins w:val="0"/>
      <w:tmSection w:h="-2">
        <w:tmFooter w:id="0" w:h="0" w:left="1701" w:right="850" w:top="0" w:bottom="0" edge="708" text="0">
          <w:shd w:val="none"/>
        </w:tmFooter>
      </w:tmSection>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Calibri">
    <w:panose1 w:val="020F0502020204030204"/>
    <w:charset w:val="cc"/>
    <w:family w:val="swiss"/>
    <w:pitch w:val="default"/>
  </w:font>
  <w:font w:name="Cambria">
    <w:panose1 w:val="02040503050406030204"/>
    <w:charset w:val="cc"/>
    <w:family w:val="roman"/>
    <w:pitch w:val="default"/>
  </w:font>
  <w:font w:name="Tahoma">
    <w:panose1 w:val="020B0604030504040204"/>
    <w:charset w:val="cc"/>
    <w:family w:val="swiss"/>
    <w:pitch w:val="default"/>
  </w:font>
  <w:font w:name="Cambria Math">
    <w:panose1 w:val="02040503050406030204"/>
    <w:charset w:val="cc"/>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spacing/>
      <w:jc w:val="right"/>
    </w:pPr>
    <w:r>
      <w:fldChar w:fldCharType="begin"/>
      <w:instrText xml:space="preserve"> PAGE \* Arabic </w:instrText>
      <w:fldChar w:fldCharType="separate"/>
      <w:t>22</w:t>
      <w:fldChar w:fldCharType="end"/>
    </w:r>
  </w:p>
  <w:p>
    <w:pPr>
      <w:pStyle w:val=""/>
    </w:p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Таблица" w:pos="below" w:numFmt="decimal"/>
    <w:caption w:name="Рисунок" w:pos="below" w:numFmt="decimal"/>
    <w:caption w:name="Изображение"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doNotUseHTMLParagraphAutoSpacing w:val="1"/>
  </w:compat>
  <w:shapeDefaults>
    <o:shapedefaults v:ext="edit" spidmax="2049"/>
    <o:shapelayout v:ext="edit">
      <o:rules v:ext="edit"/>
    </o:shapelayout>
  </w:shapeDefaults>
  <w:tmPrefOne w:val="17"/>
  <w:tmPrefTwo w:val="1"/>
  <w:tmFmtPref w:val="55063659"/>
  <w:tmCommentsPr>
    <w:tmCommentsPlace w:val="0"/>
    <w:tmCommentsWidth w:val="3119"/>
    <w:tmCommentsColor w:val="-1"/>
  </w:tmCommentsPr>
  <w:tmReviewPr>
    <w:tmReviewEnabled w:val="0"/>
    <w:tmReviewShow w:val="1"/>
    <w:tmReviewPrint w:val="0"/>
    <w:tmRevisionNum w:val="6"/>
    <w:tmReviewMarkIns w:val="4"/>
    <w:tmReviewColorIns w:val="-1"/>
    <w:tmReviewMarkDel w:val="6"/>
    <w:tmReviewColorDel w:val="-1"/>
    <w:tmReviewMarkFmt w:val="1"/>
    <w:tmReviewColorFmt w:val="-1"/>
    <w:tmReviewMarkLn w:val="1"/>
    <w:tmReviewColorLn w:val="0"/>
    <w:tmReviewToolTip w:val="1"/>
  </w:tmReviewPr>
  <w:tmLastPos>
    <w:tmLastPosPage w:val="21"/>
    <w:tmLastPosSelect w:val="0"/>
    <w:tmLastPosFrameIdx w:val="0"/>
    <w:tmLastPosCaret>
      <w:tmLastPosPgfIdx w:val="170"/>
      <w:tmLastPosIdx w:val="0"/>
    </w:tmLastPosCaret>
    <w:tmLastPosAnchor>
      <w:tmLastPosPgfIdx w:val="0"/>
      <w:tmLastPosIdx w:val="0"/>
    </w:tmLastPosAnchor>
    <w:tmLastPosTblRect w:left="0" w:top="0" w:right="0" w:bottom="0"/>
  </w:tmLastPos>
  <w:tmAppRevision w:date="1570685180" w:val="752"/>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 w:default="1">
    <w:name w:val="Normal"/>
    <w:qFormat/>
  </w:style>
  <w:style w:type="paragraph" w:styleId="1">
    <w:name w:val="heading 1"/>
    <w:qFormat/>
    <w:basedOn w:val=""/>
    <w:next w:val=""/>
    <w:pPr>
      <w:spacing w:before="480" w:after="0"/>
      <w:keepNext/>
      <w:outlineLvl w:val="0"/>
      <w:keepLines/>
    </w:pPr>
    <w:rPr>
      <w:rFonts w:ascii="Cambria" w:hAnsi="Cambria" w:eastAsia="Cambria"/>
      <w:b/>
      <w:bCs/>
      <w:color w:val="365f91"/>
      <w:sz w:val="28"/>
      <w:szCs w:val="28"/>
    </w:rPr>
  </w:style>
  <w:style w:type="paragraph" w:styleId="">
    <w:name w:val="TOC Heading"/>
    <w:qFormat/>
    <w:basedOn w:val="1"/>
    <w:next w:val=""/>
    <w:pPr>
      <w:outlineLvl w:val="9"/>
    </w:pPr>
  </w:style>
  <w:style w:type="paragraph" w:styleId="1">
    <w:name w:val="toc 1"/>
    <w:qFormat/>
    <w:basedOn w:val=""/>
    <w:next w:val=""/>
    <w:pPr>
      <w:spacing w:after="100"/>
    </w:pPr>
  </w:style>
  <w:style w:type="paragraph" w:styleId="">
    <w:name w:val="Balloon Text"/>
    <w:qFormat/>
    <w:basedOn w:val=""/>
    <w:pPr>
      <w:spacing w:after="0" w:line="240" w:lineRule="auto"/>
    </w:pPr>
    <w:rPr>
      <w:rFonts w:ascii="Tahoma" w:hAnsi="Tahoma" w:cs="Tahoma"/>
      <w:sz w:val="16"/>
      <w:szCs w:val="16"/>
    </w:rPr>
  </w:style>
  <w:style w:type="paragraph" w:styleId="">
    <w:name w:val="Header"/>
    <w:qFormat/>
    <w:basedOn w:val=""/>
    <w:pPr>
      <w:spacing w:after="0" w:line="240" w:lineRule="auto"/>
      <w:tabs>
        <w:tab w:val="center" w:pos="4677" w:leader="none"/>
        <w:tab w:val="right" w:pos="9355" w:leader="none"/>
      </w:tabs>
    </w:pPr>
  </w:style>
  <w:style w:type="paragraph" w:styleId="">
    <w:name w:val="Footer"/>
    <w:qFormat/>
    <w:basedOn w:val=""/>
    <w:pPr>
      <w:spacing w:after="0" w:line="240" w:lineRule="auto"/>
      <w:tabs>
        <w:tab w:val="center" w:pos="4677" w:leader="none"/>
        <w:tab w:val="right" w:pos="9355" w:leader="none"/>
      </w:tabs>
    </w:pPr>
  </w:style>
  <w:style w:type="character" w:styleId="" w:default="1">
    <w:name w:val="Default Paragraph Font"/>
  </w:style>
  <w:style w:type="character" w:styleId="">
    <w:name w:val="Hyperlink"/>
    <w:basedOn w:val=""/>
    <w:rPr>
      <w:color w:val="0000ff"/>
      <w:u w:color="auto" w:val="single"/>
    </w:rPr>
  </w:style>
  <w:style w:type="character" w:styleId="1" w:customStyle="1">
    <w:name w:val="Заголовок 1 Знак"/>
    <w:basedOn w:val=""/>
    <w:rPr>
      <w:rFonts w:ascii="Cambria" w:hAnsi="Cambria" w:eastAsia="Cambria"/>
      <w:b/>
      <w:bCs w:val="0"/>
      <w:color w:val="365f91"/>
      <w:sz w:val="28"/>
      <w:szCs w:val="28"/>
    </w:rPr>
  </w:style>
  <w:style w:type="character" w:styleId="" w:customStyle="1">
    <w:name w:val="Текст выноски Знак"/>
    <w:basedOn w:val=""/>
    <w:rPr>
      <w:rFonts w:ascii="Tahoma" w:hAnsi="Tahoma" w:cs="Tahoma"/>
      <w:sz w:val="16"/>
      <w:szCs w:val="16"/>
    </w:rPr>
  </w:style>
  <w:style w:type="character" w:styleId="" w:customStyle="1">
    <w:name w:val="Верхний колонтитул Знак"/>
    <w:basedOn w:val=""/>
  </w:style>
  <w:style w:type="character" w:styleId="" w:customStyle="1">
    <w:name w:val="Нижний колонтитул Знак"/>
    <w:basedOn w:v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atentStyles>
  <w:style w:type="paragraph" w:styleId="" w:default="1">
    <w:name w:val="Normal"/>
    <w:qFormat/>
  </w:style>
  <w:style w:type="paragraph" w:styleId="1">
    <w:name w:val="heading 1"/>
    <w:qFormat/>
    <w:basedOn w:val=""/>
    <w:next w:val=""/>
    <w:pPr>
      <w:spacing w:before="480" w:after="0"/>
      <w:keepNext/>
      <w:outlineLvl w:val="0"/>
      <w:keepLines/>
    </w:pPr>
    <w:rPr>
      <w:rFonts w:ascii="Cambria" w:hAnsi="Cambria" w:eastAsia="Cambria"/>
      <w:b/>
      <w:bCs/>
      <w:color w:val="365f91"/>
      <w:sz w:val="28"/>
      <w:szCs w:val="28"/>
    </w:rPr>
  </w:style>
  <w:style w:type="paragraph" w:styleId="">
    <w:name w:val="TOC Heading"/>
    <w:qFormat/>
    <w:basedOn w:val="1"/>
    <w:next w:val=""/>
    <w:pPr>
      <w:outlineLvl w:val="9"/>
    </w:pPr>
  </w:style>
  <w:style w:type="paragraph" w:styleId="1">
    <w:name w:val="toc 1"/>
    <w:qFormat/>
    <w:basedOn w:val=""/>
    <w:next w:val=""/>
    <w:pPr>
      <w:spacing w:after="100"/>
    </w:pPr>
  </w:style>
  <w:style w:type="paragraph" w:styleId="">
    <w:name w:val="Balloon Text"/>
    <w:qFormat/>
    <w:basedOn w:val=""/>
    <w:pPr>
      <w:spacing w:after="0" w:line="240" w:lineRule="auto"/>
    </w:pPr>
    <w:rPr>
      <w:rFonts w:ascii="Tahoma" w:hAnsi="Tahoma" w:cs="Tahoma"/>
      <w:sz w:val="16"/>
      <w:szCs w:val="16"/>
    </w:rPr>
  </w:style>
  <w:style w:type="paragraph" w:styleId="">
    <w:name w:val="Header"/>
    <w:qFormat/>
    <w:basedOn w:val=""/>
    <w:pPr>
      <w:spacing w:after="0" w:line="240" w:lineRule="auto"/>
      <w:tabs>
        <w:tab w:val="center" w:pos="4677" w:leader="none"/>
        <w:tab w:val="right" w:pos="9355" w:leader="none"/>
      </w:tabs>
    </w:pPr>
  </w:style>
  <w:style w:type="paragraph" w:styleId="">
    <w:name w:val="Footer"/>
    <w:qFormat/>
    <w:basedOn w:val=""/>
    <w:pPr>
      <w:spacing w:after="0" w:line="240" w:lineRule="auto"/>
      <w:tabs>
        <w:tab w:val="center" w:pos="4677" w:leader="none"/>
        <w:tab w:val="right" w:pos="9355" w:leader="none"/>
      </w:tabs>
    </w:pPr>
  </w:style>
  <w:style w:type="character" w:styleId="" w:default="1">
    <w:name w:val="Default Paragraph Font"/>
  </w:style>
  <w:style w:type="character" w:styleId="">
    <w:name w:val="Hyperlink"/>
    <w:basedOn w:val=""/>
    <w:rPr>
      <w:color w:val="0000ff"/>
      <w:u w:color="auto" w:val="single"/>
    </w:rPr>
  </w:style>
  <w:style w:type="character" w:styleId="1" w:customStyle="1">
    <w:name w:val="Заголовок 1 Знак"/>
    <w:basedOn w:val=""/>
    <w:rPr>
      <w:rFonts w:ascii="Cambria" w:hAnsi="Cambria" w:eastAsia="Cambria"/>
      <w:b/>
      <w:bCs w:val="0"/>
      <w:color w:val="365f91"/>
      <w:sz w:val="28"/>
      <w:szCs w:val="28"/>
    </w:rPr>
  </w:style>
  <w:style w:type="character" w:styleId="" w:customStyle="1">
    <w:name w:val="Текст выноски Знак"/>
    <w:basedOn w:val=""/>
    <w:rPr>
      <w:rFonts w:ascii="Tahoma" w:hAnsi="Tahoma" w:cs="Tahoma"/>
      <w:sz w:val="16"/>
      <w:szCs w:val="16"/>
    </w:rPr>
  </w:style>
  <w:style w:type="character" w:styleId="" w:customStyle="1">
    <w:name w:val="Верхний колонтитул Знак"/>
    <w:basedOn w:val=""/>
  </w:style>
  <w:style w:type="character" w:styleId="" w:customStyle="1">
    <w:name w:val="Нижний колонтитул Знак"/>
    <w:basedOn w:v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Times New Roman"/>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2016 rev.752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
  <cp:revision>6</cp:revision>
  <dcterms:created xsi:type="dcterms:W3CDTF">2019-10-08T07:39:00Z</dcterms:created>
  <dcterms:modified xsi:type="dcterms:W3CDTF">2019-10-10T08:26:20Z</dcterms:modified>
</cp:coreProperties>
</file>