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B" w:rsidRPr="00835378" w:rsidRDefault="00BC40AB" w:rsidP="00BC40AB">
      <w:pPr>
        <w:pStyle w:val="a4"/>
        <w:spacing w:after="12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29C">
        <w:rPr>
          <w:rFonts w:ascii="Times New Roman" w:hAnsi="Times New Roman" w:cs="Times New Roman"/>
          <w:b/>
          <w:sz w:val="28"/>
          <w:szCs w:val="28"/>
        </w:rPr>
        <w:t>Формирование комплекса мероприятий</w:t>
      </w:r>
      <w:r w:rsidR="00631B47">
        <w:rPr>
          <w:rFonts w:ascii="Times New Roman" w:hAnsi="Times New Roman" w:cs="Times New Roman"/>
          <w:b/>
          <w:sz w:val="28"/>
          <w:szCs w:val="28"/>
        </w:rPr>
        <w:t xml:space="preserve"> ЗБС</w:t>
      </w:r>
      <w:r w:rsidRPr="00D6429C">
        <w:rPr>
          <w:rFonts w:ascii="Times New Roman" w:hAnsi="Times New Roman" w:cs="Times New Roman"/>
          <w:b/>
          <w:sz w:val="28"/>
          <w:szCs w:val="28"/>
        </w:rPr>
        <w:t xml:space="preserve"> по внедрению исследуемой технологии на объекте разработки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ЮВ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месторождения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 xml:space="preserve">В соответствии с ранее принятыми проектными решениями на месторождении были приняты к применению следующие методы повышения </w:t>
      </w:r>
      <w:proofErr w:type="spellStart"/>
      <w:r w:rsidRPr="00675112">
        <w:rPr>
          <w:rFonts w:ascii="Times New Roman" w:hAnsi="Times New Roman"/>
          <w:sz w:val="28"/>
          <w:szCs w:val="28"/>
        </w:rPr>
        <w:t>нефтеотдачи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пластов и интенсификации добычи нефти: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Бурение горизонтальных скважин;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Ввод новых скважин (ННС);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75112">
        <w:rPr>
          <w:rFonts w:ascii="Times New Roman" w:hAnsi="Times New Roman"/>
          <w:sz w:val="28"/>
          <w:szCs w:val="28"/>
        </w:rPr>
        <w:t>Зарезка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боковых стволов;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Проведение ГРП;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Переводы скважин на другой объект разработки;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 xml:space="preserve">Перфорационные работы по </w:t>
      </w:r>
      <w:proofErr w:type="spellStart"/>
      <w:r w:rsidRPr="00675112">
        <w:rPr>
          <w:rFonts w:ascii="Times New Roman" w:hAnsi="Times New Roman"/>
          <w:sz w:val="28"/>
          <w:szCs w:val="28"/>
        </w:rPr>
        <w:t>дострелу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5112">
        <w:rPr>
          <w:rFonts w:ascii="Times New Roman" w:hAnsi="Times New Roman"/>
          <w:sz w:val="28"/>
          <w:szCs w:val="28"/>
        </w:rPr>
        <w:t>перестрелу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пластов;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Физико-химические ОПЗ;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Проведение работ по выравниванию профиля приемистости нагнетательных скважин;</w:t>
      </w:r>
    </w:p>
    <w:p w:rsidR="00BC40AB" w:rsidRPr="00675112" w:rsidRDefault="00BC40AB" w:rsidP="00BC40AB">
      <w:pPr>
        <w:pStyle w:val="N1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 xml:space="preserve">Водоизоляционные и ремонтно-изоляционные работы по ограничению </w:t>
      </w:r>
      <w:proofErr w:type="spellStart"/>
      <w:r w:rsidRPr="00675112">
        <w:rPr>
          <w:rFonts w:ascii="Times New Roman" w:hAnsi="Times New Roman"/>
          <w:sz w:val="28"/>
          <w:szCs w:val="28"/>
        </w:rPr>
        <w:t>водопритоков</w:t>
      </w:r>
      <w:proofErr w:type="spellEnd"/>
      <w:r w:rsidRPr="00675112">
        <w:rPr>
          <w:rFonts w:ascii="Times New Roman" w:hAnsi="Times New Roman"/>
          <w:sz w:val="28"/>
          <w:szCs w:val="28"/>
        </w:rPr>
        <w:t>, восстановлению целостности эксплуатационной колонны и т.п.</w:t>
      </w:r>
    </w:p>
    <w:p w:rsidR="00BC40AB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 xml:space="preserve">Эффект от проведения всех геолого-технических мероприятий на скважинах с переводом на объекты и приобщение, </w:t>
      </w:r>
      <w:proofErr w:type="spellStart"/>
      <w:r w:rsidRPr="00675112">
        <w:rPr>
          <w:rFonts w:ascii="Times New Roman" w:hAnsi="Times New Roman"/>
          <w:sz w:val="28"/>
          <w:szCs w:val="28"/>
        </w:rPr>
        <w:t>зарезку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БС и БГС и ввод горизонтальных скважин  полностью распределялся </w:t>
      </w:r>
      <w:proofErr w:type="gramStart"/>
      <w:r w:rsidRPr="00675112">
        <w:rPr>
          <w:rFonts w:ascii="Times New Roman" w:hAnsi="Times New Roman"/>
          <w:sz w:val="28"/>
          <w:szCs w:val="28"/>
        </w:rPr>
        <w:t>на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вышеперечисленные ГТМ. Также при проведении ОПЗ, РИР, ЛА во время продолжающегося эффекта от ГРП эффект перераспределялся на ГРП. Окончанием времени эффекта считался месяц, после которого в течение 3-х месяцев подряд дебит нефти после мероприятия равнялся базовому (до ГТМ), либо был ниже базового.</w:t>
      </w:r>
    </w:p>
    <w:p w:rsidR="00BC40AB" w:rsidRPr="00675112" w:rsidRDefault="00BC40AB" w:rsidP="00BC40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12">
        <w:rPr>
          <w:rFonts w:ascii="Times New Roman" w:hAnsi="Times New Roman" w:cs="Times New Roman"/>
          <w:b/>
          <w:sz w:val="28"/>
          <w:szCs w:val="28"/>
        </w:rPr>
        <w:t>Ввод новых скважин (Бурение горизонтальных скважин)</w:t>
      </w:r>
    </w:p>
    <w:p w:rsidR="00BC40AB" w:rsidRPr="00675112" w:rsidRDefault="00BC40AB" w:rsidP="00BC40AB">
      <w:pPr>
        <w:pStyle w:val="N1"/>
        <w:spacing w:before="0"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В 2008-2009 гг. - первые ГС (№ 5181, 5186 и 5198) на объекте ЮВ</w:t>
      </w:r>
      <w:proofErr w:type="gramStart"/>
      <w:r w:rsidRPr="00675112">
        <w:rPr>
          <w:rFonts w:ascii="Times New Roman" w:hAnsi="Times New Roman"/>
          <w:sz w:val="28"/>
          <w:szCs w:val="28"/>
        </w:rPr>
        <w:t>1</w:t>
      </w:r>
      <w:proofErr w:type="gramEnd"/>
      <w:r w:rsidRPr="00675112">
        <w:rPr>
          <w:rFonts w:ascii="Times New Roman" w:hAnsi="Times New Roman"/>
          <w:sz w:val="28"/>
          <w:szCs w:val="28"/>
        </w:rPr>
        <w:t>.</w:t>
      </w:r>
    </w:p>
    <w:p w:rsidR="00BC40AB" w:rsidRDefault="00BC40AB" w:rsidP="00BC40AB">
      <w:pPr>
        <w:pStyle w:val="N1"/>
        <w:spacing w:before="0"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lastRenderedPageBreak/>
        <w:t>Начальные дебиты нефти ГС объекта ЮВ</w:t>
      </w:r>
      <w:proofErr w:type="gramStart"/>
      <w:r w:rsidRPr="00675112">
        <w:rPr>
          <w:rFonts w:ascii="Times New Roman" w:hAnsi="Times New Roman"/>
          <w:sz w:val="28"/>
          <w:szCs w:val="28"/>
        </w:rPr>
        <w:t>1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составляли 16,0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5112">
        <w:rPr>
          <w:rFonts w:ascii="Times New Roman" w:hAnsi="Times New Roman"/>
          <w:sz w:val="28"/>
          <w:szCs w:val="28"/>
        </w:rPr>
        <w:t>скв</w:t>
      </w:r>
      <w:proofErr w:type="spellEnd"/>
      <w:r w:rsidRPr="00675112">
        <w:rPr>
          <w:rFonts w:ascii="Times New Roman" w:hAnsi="Times New Roman"/>
          <w:sz w:val="28"/>
          <w:szCs w:val="28"/>
        </w:rPr>
        <w:t>. 5198) и 87,8 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5112">
        <w:rPr>
          <w:rFonts w:ascii="Times New Roman" w:hAnsi="Times New Roman"/>
          <w:sz w:val="28"/>
          <w:szCs w:val="28"/>
        </w:rPr>
        <w:t>скв</w:t>
      </w:r>
      <w:proofErr w:type="spellEnd"/>
      <w:r w:rsidRPr="00675112">
        <w:rPr>
          <w:rFonts w:ascii="Times New Roman" w:hAnsi="Times New Roman"/>
          <w:sz w:val="28"/>
          <w:szCs w:val="28"/>
        </w:rPr>
        <w:t>. 5181), начальные дебиты жидкости - 17,0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5112">
        <w:rPr>
          <w:rFonts w:ascii="Times New Roman" w:hAnsi="Times New Roman"/>
          <w:sz w:val="28"/>
          <w:szCs w:val="28"/>
        </w:rPr>
        <w:t>скв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5198) и 92,2 т/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5112">
        <w:rPr>
          <w:rFonts w:ascii="Times New Roman" w:hAnsi="Times New Roman"/>
          <w:sz w:val="28"/>
          <w:szCs w:val="28"/>
        </w:rPr>
        <w:t>скв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. 5181). </w:t>
      </w:r>
    </w:p>
    <w:p w:rsidR="00BC40AB" w:rsidRPr="00675112" w:rsidRDefault="00BC40AB" w:rsidP="00BC40AB">
      <w:pPr>
        <w:pStyle w:val="N1"/>
        <w:spacing w:before="0" w:after="0"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675112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продукции ГС - 4,8% (</w:t>
      </w:r>
      <w:proofErr w:type="spellStart"/>
      <w:r w:rsidRPr="00675112">
        <w:rPr>
          <w:rFonts w:ascii="Times New Roman" w:hAnsi="Times New Roman"/>
          <w:sz w:val="28"/>
          <w:szCs w:val="28"/>
        </w:rPr>
        <w:t>скв</w:t>
      </w:r>
      <w:proofErr w:type="spellEnd"/>
      <w:r w:rsidRPr="00675112">
        <w:rPr>
          <w:rFonts w:ascii="Times New Roman" w:hAnsi="Times New Roman"/>
          <w:sz w:val="28"/>
          <w:szCs w:val="28"/>
        </w:rPr>
        <w:t>. 5181) и 5,9% (</w:t>
      </w:r>
      <w:proofErr w:type="spellStart"/>
      <w:r w:rsidRPr="00675112">
        <w:rPr>
          <w:rFonts w:ascii="Times New Roman" w:hAnsi="Times New Roman"/>
          <w:sz w:val="28"/>
          <w:szCs w:val="28"/>
        </w:rPr>
        <w:t>скв</w:t>
      </w:r>
      <w:proofErr w:type="spellEnd"/>
      <w:r w:rsidRPr="00675112">
        <w:rPr>
          <w:rFonts w:ascii="Times New Roman" w:hAnsi="Times New Roman"/>
          <w:sz w:val="28"/>
          <w:szCs w:val="28"/>
        </w:rPr>
        <w:t>. 5198). На 01.01.2015 г. в эксплуатации находится только скважина № 5186 с текущим дебитом нефти 9,1 т/</w:t>
      </w:r>
      <w:proofErr w:type="spellStart"/>
      <w:proofErr w:type="gram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83%.</w:t>
      </w:r>
    </w:p>
    <w:p w:rsidR="00BC40AB" w:rsidRPr="00675112" w:rsidRDefault="00BC40AB" w:rsidP="00BC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112">
        <w:rPr>
          <w:rFonts w:ascii="Times New Roman" w:hAnsi="Times New Roman" w:cs="Times New Roman"/>
          <w:sz w:val="28"/>
          <w:szCs w:val="28"/>
        </w:rPr>
        <w:t>В 2014 г. было пробурено 11 горизонтальных скважин (№ 821, 822, 1336, 1338, 1483, 1568, 1670, 5240, 5262, 5286, 5287). Начальные дебиты нефти – от 6,0 (№ 5262) до 126,5 (№ 1670) т/</w:t>
      </w:r>
      <w:proofErr w:type="spellStart"/>
      <w:r w:rsidRPr="0067511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 w:cs="Times New Roman"/>
          <w:sz w:val="28"/>
          <w:szCs w:val="28"/>
        </w:rPr>
        <w:t>, жидкости – от 38,0 (№ 822) до 268,4 (№ 5286) т/</w:t>
      </w:r>
      <w:proofErr w:type="spellStart"/>
      <w:proofErr w:type="gramStart"/>
      <w:r w:rsidRPr="0067511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7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 w:cs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 w:cs="Times New Roman"/>
          <w:sz w:val="28"/>
          <w:szCs w:val="28"/>
        </w:rPr>
        <w:t xml:space="preserve"> от 10,2% (№ 1338) до 92,9% (№ 5262).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На 01.01.2015 г. в эксплуатации находятся 10 скважин. Скважина № 5262 переведена на объект АВ1-2.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Всего горизонтальными скважинами добыто 271,4 тыс. т нефти. Средняя достигнутая технологическая эффективность бурения ГС составила 19384 т на 1 ГС.</w:t>
      </w:r>
    </w:p>
    <w:p w:rsidR="00BC40AB" w:rsidRPr="00675112" w:rsidRDefault="00BC40AB" w:rsidP="00BC40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5112">
        <w:rPr>
          <w:rFonts w:ascii="Times New Roman" w:hAnsi="Times New Roman" w:cs="Times New Roman"/>
          <w:b/>
          <w:sz w:val="28"/>
          <w:szCs w:val="28"/>
        </w:rPr>
        <w:t>Зарезка</w:t>
      </w:r>
      <w:proofErr w:type="spellEnd"/>
      <w:r w:rsidRPr="00675112">
        <w:rPr>
          <w:rFonts w:ascii="Times New Roman" w:hAnsi="Times New Roman" w:cs="Times New Roman"/>
          <w:b/>
          <w:sz w:val="28"/>
          <w:szCs w:val="28"/>
        </w:rPr>
        <w:t xml:space="preserve"> вторых стволов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В 2005-2007 гг. на объекте зарезано три БС (№ 1099, 1159 и 1218) с начальными дебитами нефти от 34,0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1218) до 73,1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1099), жидкостью от 38,9 (№ 1218) до 107,4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1099) и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112">
        <w:rPr>
          <w:rFonts w:ascii="Times New Roman" w:hAnsi="Times New Roman"/>
          <w:sz w:val="28"/>
          <w:szCs w:val="28"/>
        </w:rPr>
        <w:t>от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11,8% (№ 1159) до 31,9% (№ 1099). На 01.01.2015 г. из трех скважин в добычи находится одна (№ 1218) с дебитом нефти 5,4 т/</w:t>
      </w:r>
      <w:proofErr w:type="spellStart"/>
      <w:proofErr w:type="gram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80,0%, одна находится в нагнетательном фонде (№ 1159) и одна в бездействии (№ 1099).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В 2009-2010 гг. зарезано два БГС (№ 1304 и 1319) с начальными дебитами нефти 32,9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1304) и 35,5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1319), жидкости 37,9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1304) и 38,3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</w:t>
      </w:r>
      <w:r w:rsidRPr="00675112">
        <w:rPr>
          <w:rFonts w:ascii="Times New Roman" w:hAnsi="Times New Roman"/>
          <w:sz w:val="28"/>
          <w:szCs w:val="28"/>
        </w:rPr>
        <w:br/>
        <w:t xml:space="preserve">(№ 1319) и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7,2% (№ 1319), 13,0% (№ 1304). На 01.01.2015 г. в эксплуатации находится только скважина № 1319 с дебитом нефти 4,6 т/</w:t>
      </w:r>
      <w:proofErr w:type="spellStart"/>
      <w:proofErr w:type="gram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88,7%. Скважина № 1304 переведена на объект АВ1-2.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lastRenderedPageBreak/>
        <w:t>В 2013 г. было зарезано четыре БГС (№ 1004, 1189, 1302, 4732) и один БС (№ 1108). Начальные дебиты нефти составляли от 4,7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1108) до 30,8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4732), жидкости от 62,5 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4732) до 98,3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(№ 1108) и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от 50,8% (№ 4732) </w:t>
      </w:r>
      <w:proofErr w:type="gramStart"/>
      <w:r w:rsidRPr="00675112">
        <w:rPr>
          <w:rFonts w:ascii="Times New Roman" w:hAnsi="Times New Roman"/>
          <w:sz w:val="28"/>
          <w:szCs w:val="28"/>
        </w:rPr>
        <w:t>до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95,2% (№ 1108). На 01.01.2015 г. три скважины из пяти находятся в эксплуатации с дебитом по нефти от 1,3 (№ 1189) до 14,3 (№ 1302) т/</w:t>
      </w:r>
      <w:proofErr w:type="spellStart"/>
      <w:proofErr w:type="gram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от 44,1% (№ 1302) до 98,2% (№ 1108).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В 2014 г. было зарезано 3 БГС (№ 471, 868 и 1308) с начальными дебитами нефти от 5,0 (№ 868) до 27,1 (№ 1308) т/</w:t>
      </w:r>
      <w:proofErr w:type="spell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>, жидкостью – от 25,0 (№ 868) до 66,5 (№ 471) т/</w:t>
      </w:r>
      <w:proofErr w:type="spellStart"/>
      <w:proofErr w:type="gramStart"/>
      <w:r w:rsidRPr="00675112">
        <w:rPr>
          <w:rFonts w:ascii="Times New Roman" w:hAnsi="Times New Roman"/>
          <w:sz w:val="28"/>
          <w:szCs w:val="28"/>
        </w:rPr>
        <w:t>сут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112">
        <w:rPr>
          <w:rFonts w:ascii="Times New Roman" w:hAnsi="Times New Roman"/>
          <w:sz w:val="28"/>
          <w:szCs w:val="28"/>
        </w:rPr>
        <w:t>обводненностью</w:t>
      </w:r>
      <w:proofErr w:type="spellEnd"/>
      <w:r w:rsidRPr="00675112">
        <w:rPr>
          <w:rFonts w:ascii="Times New Roman" w:hAnsi="Times New Roman"/>
          <w:sz w:val="28"/>
          <w:szCs w:val="28"/>
        </w:rPr>
        <w:t xml:space="preserve"> от 44,1% (№ 1308) до 80,0% (№ 868). На 01.01.2015 г. все скважины находятся в эксплуатации.</w:t>
      </w:r>
    </w:p>
    <w:p w:rsidR="00BC40AB" w:rsidRPr="00675112" w:rsidRDefault="00BC40AB" w:rsidP="00BC40AB">
      <w:pPr>
        <w:pStyle w:val="N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75112">
        <w:rPr>
          <w:rFonts w:ascii="Times New Roman" w:hAnsi="Times New Roman"/>
          <w:sz w:val="28"/>
          <w:szCs w:val="28"/>
        </w:rPr>
        <w:t>Добыча нефти составила 166,7 тыс</w:t>
      </w:r>
      <w:proofErr w:type="gramStart"/>
      <w:r w:rsidRPr="00675112">
        <w:rPr>
          <w:rFonts w:ascii="Times New Roman" w:hAnsi="Times New Roman"/>
          <w:sz w:val="28"/>
          <w:szCs w:val="28"/>
        </w:rPr>
        <w:t>.т</w:t>
      </w:r>
      <w:proofErr w:type="gramEnd"/>
      <w:r w:rsidRPr="00675112">
        <w:rPr>
          <w:rFonts w:ascii="Times New Roman" w:hAnsi="Times New Roman"/>
          <w:sz w:val="28"/>
          <w:szCs w:val="28"/>
        </w:rPr>
        <w:t xml:space="preserve"> с технологической эффективностью 12823 т. на 1 БГС.</w:t>
      </w:r>
    </w:p>
    <w:p w:rsidR="00BC40AB" w:rsidRDefault="00BC40AB" w:rsidP="00BC40AB">
      <w:pPr>
        <w:spacing w:after="0" w:line="360" w:lineRule="auto"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BC40AB" w:rsidRDefault="00BC40AB" w:rsidP="00BC40AB">
      <w:pPr>
        <w:spacing w:after="0" w:line="360" w:lineRule="auto"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A5A35" w:rsidRDefault="005A5A35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AB" w:rsidRDefault="00BC40AB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3F" w:rsidRDefault="00E7023F" w:rsidP="00E70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3F" w:rsidRDefault="00E7023F" w:rsidP="005A5A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EastAsia"/>
          <w:sz w:val="28"/>
          <w:szCs w:val="28"/>
        </w:rPr>
      </w:pPr>
    </w:p>
    <w:p w:rsidR="005A5A35" w:rsidRPr="00395197" w:rsidRDefault="005A5A35" w:rsidP="005A5A3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E7023F" w:rsidRDefault="00E70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3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C40AB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E927E7">
        <w:rPr>
          <w:rFonts w:ascii="Times New Roman" w:hAnsi="Times New Roman" w:cs="Times New Roman"/>
          <w:sz w:val="28"/>
        </w:rPr>
        <w:t xml:space="preserve">Подсчёт запасов нефти и растворённого газа </w:t>
      </w:r>
      <w:proofErr w:type="spellStart"/>
      <w:r w:rsidRPr="00E927E7">
        <w:rPr>
          <w:rFonts w:ascii="Times New Roman" w:hAnsi="Times New Roman" w:cs="Times New Roman"/>
          <w:sz w:val="28"/>
        </w:rPr>
        <w:t>Ватинского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месторождения </w:t>
      </w:r>
      <w:proofErr w:type="spellStart"/>
      <w:r w:rsidRPr="00E927E7">
        <w:rPr>
          <w:rFonts w:ascii="Times New Roman" w:hAnsi="Times New Roman" w:cs="Times New Roman"/>
          <w:sz w:val="28"/>
        </w:rPr>
        <w:t>Нижневартовского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района Тюменской области (отчёт). Хафизов Ф.З. и др., Тюмень, 1967.</w:t>
      </w:r>
    </w:p>
    <w:p w:rsidR="00BC40AB" w:rsidRPr="007A6989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7A6989">
        <w:rPr>
          <w:rFonts w:ascii="Times New Roman" w:hAnsi="Times New Roman" w:cs="Times New Roman"/>
          <w:sz w:val="28"/>
          <w:szCs w:val="28"/>
        </w:rPr>
        <w:t xml:space="preserve">Трофимов А.С., Бердников С.В., Платонов И.Е., Колесник С.В., Зозуля Г.П., </w:t>
      </w:r>
      <w:proofErr w:type="spellStart"/>
      <w:r w:rsidRPr="007A6989">
        <w:rPr>
          <w:rFonts w:ascii="Times New Roman" w:hAnsi="Times New Roman" w:cs="Times New Roman"/>
          <w:sz w:val="28"/>
          <w:szCs w:val="28"/>
        </w:rPr>
        <w:t>Ягофаров</w:t>
      </w:r>
      <w:proofErr w:type="spellEnd"/>
      <w:r w:rsidRPr="007A6989">
        <w:rPr>
          <w:rFonts w:ascii="Times New Roman" w:hAnsi="Times New Roman" w:cs="Times New Roman"/>
          <w:sz w:val="28"/>
          <w:szCs w:val="28"/>
        </w:rPr>
        <w:t xml:space="preserve"> А.Н., Дергунов И.А., Харитонова Л.И. Гидродинамические методы повышения </w:t>
      </w:r>
      <w:proofErr w:type="spellStart"/>
      <w:r w:rsidRPr="007A6989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7A6989">
        <w:rPr>
          <w:rFonts w:ascii="Times New Roman" w:hAnsi="Times New Roman" w:cs="Times New Roman"/>
          <w:sz w:val="28"/>
          <w:szCs w:val="28"/>
        </w:rPr>
        <w:t xml:space="preserve"> пластов. - Тюмень:, 2008.</w:t>
      </w:r>
    </w:p>
    <w:p w:rsidR="00BC40AB" w:rsidRPr="00E927E7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E927E7">
        <w:rPr>
          <w:rFonts w:ascii="Times New Roman" w:hAnsi="Times New Roman" w:cs="Times New Roman"/>
          <w:sz w:val="28"/>
        </w:rPr>
        <w:t xml:space="preserve">Переоценка запасов нефти и газа по месторождениям </w:t>
      </w:r>
      <w:proofErr w:type="spellStart"/>
      <w:r w:rsidRPr="00E927E7">
        <w:rPr>
          <w:rFonts w:ascii="Times New Roman" w:hAnsi="Times New Roman" w:cs="Times New Roman"/>
          <w:sz w:val="28"/>
        </w:rPr>
        <w:t>Главтюменнефтегаза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, находящихся в разведке и разработке. Месторождение </w:t>
      </w:r>
      <w:proofErr w:type="spellStart"/>
      <w:r w:rsidRPr="00E927E7">
        <w:rPr>
          <w:rFonts w:ascii="Times New Roman" w:hAnsi="Times New Roman" w:cs="Times New Roman"/>
          <w:sz w:val="28"/>
        </w:rPr>
        <w:t>Ватинское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(отчёт). </w:t>
      </w:r>
      <w:proofErr w:type="spellStart"/>
      <w:r w:rsidRPr="00E927E7">
        <w:rPr>
          <w:rFonts w:ascii="Times New Roman" w:hAnsi="Times New Roman" w:cs="Times New Roman"/>
          <w:sz w:val="28"/>
        </w:rPr>
        <w:t>Акбашев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Ф.С. и др., тема 03.80/01.55.Т. Тюмень, </w:t>
      </w:r>
      <w:proofErr w:type="spellStart"/>
      <w:r w:rsidRPr="00E927E7">
        <w:rPr>
          <w:rFonts w:ascii="Times New Roman" w:hAnsi="Times New Roman" w:cs="Times New Roman"/>
          <w:sz w:val="28"/>
        </w:rPr>
        <w:t>СибНИИНП</w:t>
      </w:r>
      <w:proofErr w:type="spellEnd"/>
      <w:r w:rsidRPr="00E927E7">
        <w:rPr>
          <w:rFonts w:ascii="Times New Roman" w:hAnsi="Times New Roman" w:cs="Times New Roman"/>
          <w:sz w:val="28"/>
        </w:rPr>
        <w:t>, 1986.</w:t>
      </w:r>
    </w:p>
    <w:p w:rsidR="00BC40AB" w:rsidRPr="007A6989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8815CD">
        <w:rPr>
          <w:rFonts w:ascii="Times New Roman" w:hAnsi="Times New Roman" w:cs="Times New Roman"/>
          <w:sz w:val="28"/>
          <w:szCs w:val="28"/>
        </w:rPr>
        <w:t xml:space="preserve">Сургучев М.Л. Вторичные и третичные методы повышения </w:t>
      </w:r>
      <w:proofErr w:type="spellStart"/>
      <w:r w:rsidRPr="008815CD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8815CD">
        <w:rPr>
          <w:rFonts w:ascii="Times New Roman" w:hAnsi="Times New Roman" w:cs="Times New Roman"/>
          <w:sz w:val="28"/>
          <w:szCs w:val="28"/>
        </w:rPr>
        <w:t xml:space="preserve"> пластов. - М., Недра, 2011 г. - 308 </w:t>
      </w:r>
      <w:proofErr w:type="gramStart"/>
      <w:r w:rsidRPr="008815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5CD">
        <w:rPr>
          <w:rFonts w:ascii="Times New Roman" w:hAnsi="Times New Roman" w:cs="Times New Roman"/>
          <w:sz w:val="28"/>
          <w:szCs w:val="28"/>
        </w:rPr>
        <w:t>.</w:t>
      </w:r>
    </w:p>
    <w:p w:rsidR="00BC40AB" w:rsidRPr="00E927E7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E927E7">
        <w:rPr>
          <w:rFonts w:ascii="Times New Roman" w:hAnsi="Times New Roman" w:cs="Times New Roman"/>
          <w:sz w:val="28"/>
        </w:rPr>
        <w:t xml:space="preserve">Изучение условий залегания нефти и газа и проектирование промышленной разведки нефтяных месторождений Тюменской области. Этапы 5-6. Проект промышленной разведки </w:t>
      </w:r>
      <w:proofErr w:type="spellStart"/>
      <w:r w:rsidRPr="00E927E7">
        <w:rPr>
          <w:rFonts w:ascii="Times New Roman" w:hAnsi="Times New Roman" w:cs="Times New Roman"/>
          <w:sz w:val="28"/>
        </w:rPr>
        <w:t>Ватинского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и северной части </w:t>
      </w:r>
      <w:proofErr w:type="spellStart"/>
      <w:r w:rsidRPr="00E927E7">
        <w:rPr>
          <w:rFonts w:ascii="Times New Roman" w:hAnsi="Times New Roman" w:cs="Times New Roman"/>
          <w:sz w:val="28"/>
        </w:rPr>
        <w:t>Мегионского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месторождений (отчёт). Степанов А.И. и др., М, ВНИИ, 1965.</w:t>
      </w:r>
    </w:p>
    <w:p w:rsidR="00BC40AB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E927E7">
        <w:rPr>
          <w:rFonts w:ascii="Times New Roman" w:hAnsi="Times New Roman" w:cs="Times New Roman"/>
          <w:sz w:val="28"/>
        </w:rPr>
        <w:t xml:space="preserve">Разработка рекомендаций, находящихся на балансе </w:t>
      </w:r>
      <w:proofErr w:type="spellStart"/>
      <w:r w:rsidRPr="00E927E7">
        <w:rPr>
          <w:rFonts w:ascii="Times New Roman" w:hAnsi="Times New Roman" w:cs="Times New Roman"/>
          <w:sz w:val="28"/>
        </w:rPr>
        <w:t>Главтюменнефтегаза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(окончательный отчет по теме 3-70-НГ). </w:t>
      </w:r>
      <w:proofErr w:type="spellStart"/>
      <w:r w:rsidRPr="00E927E7">
        <w:rPr>
          <w:rFonts w:ascii="Times New Roman" w:hAnsi="Times New Roman" w:cs="Times New Roman"/>
          <w:sz w:val="28"/>
        </w:rPr>
        <w:t>Ишаев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У.Г. и др., Тюмень, </w:t>
      </w:r>
      <w:proofErr w:type="spellStart"/>
      <w:r w:rsidRPr="00E927E7">
        <w:rPr>
          <w:rFonts w:ascii="Times New Roman" w:hAnsi="Times New Roman" w:cs="Times New Roman"/>
          <w:sz w:val="28"/>
        </w:rPr>
        <w:t>Гипротюменнефтегаз</w:t>
      </w:r>
      <w:proofErr w:type="spellEnd"/>
      <w:r w:rsidRPr="00E927E7">
        <w:rPr>
          <w:rFonts w:ascii="Times New Roman" w:hAnsi="Times New Roman" w:cs="Times New Roman"/>
          <w:sz w:val="28"/>
        </w:rPr>
        <w:t>, 1973.</w:t>
      </w:r>
    </w:p>
    <w:p w:rsidR="00BC40AB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36"/>
        </w:rPr>
      </w:pPr>
      <w:r w:rsidRPr="00E927E7">
        <w:rPr>
          <w:rFonts w:ascii="Times New Roman" w:hAnsi="Times New Roman" w:cs="Times New Roman"/>
          <w:sz w:val="28"/>
        </w:rPr>
        <w:t xml:space="preserve">Нефтяное хозяйство, 2003, № 8, стр. 46-48. </w:t>
      </w:r>
      <w:proofErr w:type="spellStart"/>
      <w:r w:rsidRPr="00E927E7">
        <w:rPr>
          <w:rFonts w:ascii="Times New Roman" w:hAnsi="Times New Roman" w:cs="Times New Roman"/>
          <w:sz w:val="28"/>
        </w:rPr>
        <w:t>Р.С.Хисамов</w:t>
      </w:r>
      <w:proofErr w:type="spellEnd"/>
      <w:r w:rsidRPr="00E927E7">
        <w:rPr>
          <w:rFonts w:ascii="Times New Roman" w:hAnsi="Times New Roman" w:cs="Times New Roman"/>
          <w:sz w:val="28"/>
        </w:rPr>
        <w:t xml:space="preserve"> и др. Развитие  горизонтальной технологии разработки нефтяных месторождений Татарстана.</w:t>
      </w:r>
    </w:p>
    <w:p w:rsidR="00BC40AB" w:rsidRPr="007A6989" w:rsidRDefault="00BC40AB" w:rsidP="00BC40AB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36"/>
        </w:rPr>
      </w:pPr>
      <w:r w:rsidRPr="007A6989">
        <w:rPr>
          <w:rFonts w:ascii="Times New Roman" w:hAnsi="Times New Roman" w:cs="Times New Roman"/>
          <w:sz w:val="28"/>
          <w:szCs w:val="28"/>
        </w:rPr>
        <w:t xml:space="preserve">Ильина Г.Ф., </w:t>
      </w:r>
      <w:proofErr w:type="spellStart"/>
      <w:r w:rsidRPr="007A6989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7A6989">
        <w:rPr>
          <w:rFonts w:ascii="Times New Roman" w:hAnsi="Times New Roman" w:cs="Times New Roman"/>
          <w:sz w:val="28"/>
          <w:szCs w:val="28"/>
        </w:rPr>
        <w:t xml:space="preserve"> Л.К. Методы и технологии повышения </w:t>
      </w:r>
      <w:proofErr w:type="spellStart"/>
      <w:r w:rsidRPr="007A6989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7A6989">
        <w:rPr>
          <w:rFonts w:ascii="Times New Roman" w:hAnsi="Times New Roman" w:cs="Times New Roman"/>
          <w:sz w:val="28"/>
          <w:szCs w:val="28"/>
        </w:rPr>
        <w:t xml:space="preserve"> для коллекторов западной Сибири: Изд-во ТПУ, 2006.-166 </w:t>
      </w:r>
      <w:proofErr w:type="gramStart"/>
      <w:r w:rsidRPr="007A69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6989">
        <w:rPr>
          <w:rFonts w:ascii="Times New Roman" w:hAnsi="Times New Roman" w:cs="Times New Roman"/>
          <w:sz w:val="28"/>
          <w:szCs w:val="28"/>
        </w:rPr>
        <w:t>.</w:t>
      </w:r>
    </w:p>
    <w:p w:rsidR="00E7023F" w:rsidRPr="005A5A35" w:rsidRDefault="00E7023F" w:rsidP="005A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023F" w:rsidRPr="005A5A35" w:rsidSect="0000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6E9"/>
    <w:multiLevelType w:val="multilevel"/>
    <w:tmpl w:val="7134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615E2"/>
    <w:multiLevelType w:val="multilevel"/>
    <w:tmpl w:val="4A56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31075"/>
    <w:multiLevelType w:val="multilevel"/>
    <w:tmpl w:val="100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71CC"/>
    <w:multiLevelType w:val="multilevel"/>
    <w:tmpl w:val="CA4E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73194"/>
    <w:multiLevelType w:val="multilevel"/>
    <w:tmpl w:val="93E0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20EBC"/>
    <w:multiLevelType w:val="hybridMultilevel"/>
    <w:tmpl w:val="F4DEA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7E5184"/>
    <w:multiLevelType w:val="multilevel"/>
    <w:tmpl w:val="7286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63D61"/>
    <w:multiLevelType w:val="multilevel"/>
    <w:tmpl w:val="CD1C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E3985"/>
    <w:multiLevelType w:val="hybridMultilevel"/>
    <w:tmpl w:val="69B25B88"/>
    <w:lvl w:ilvl="0" w:tplc="0292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8A551A0"/>
    <w:multiLevelType w:val="multilevel"/>
    <w:tmpl w:val="255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23F"/>
    <w:rsid w:val="0000195E"/>
    <w:rsid w:val="00015471"/>
    <w:rsid w:val="0006014D"/>
    <w:rsid w:val="00161282"/>
    <w:rsid w:val="002E5166"/>
    <w:rsid w:val="004719E0"/>
    <w:rsid w:val="005A5A35"/>
    <w:rsid w:val="00631B47"/>
    <w:rsid w:val="0096355E"/>
    <w:rsid w:val="00BC40AB"/>
    <w:rsid w:val="00D2331A"/>
    <w:rsid w:val="00E7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BC40AB"/>
    <w:pPr>
      <w:ind w:left="720"/>
      <w:contextualSpacing/>
    </w:pPr>
    <w:rPr>
      <w:rFonts w:eastAsiaTheme="minorHAnsi"/>
      <w:lang w:eastAsia="en-US"/>
    </w:rPr>
  </w:style>
  <w:style w:type="paragraph" w:customStyle="1" w:styleId="N1">
    <w:name w:val="N1"/>
    <w:basedOn w:val="a"/>
    <w:rsid w:val="00BC40AB"/>
    <w:pPr>
      <w:spacing w:before="120" w:after="120" w:line="240" w:lineRule="auto"/>
      <w:ind w:firstLine="720"/>
      <w:jc w:val="both"/>
    </w:pPr>
    <w:rPr>
      <w:rFonts w:ascii="Pragmatica" w:eastAsia="Times New Roman" w:hAnsi="Pragmatic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681C-70B7-4B10-830E-FEA896BF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Динар</cp:lastModifiedBy>
  <cp:revision>6</cp:revision>
  <dcterms:created xsi:type="dcterms:W3CDTF">2019-06-14T14:30:00Z</dcterms:created>
  <dcterms:modified xsi:type="dcterms:W3CDTF">2019-11-15T09:11:00Z</dcterms:modified>
</cp:coreProperties>
</file>