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B2" w:rsidRPr="009E78B2" w:rsidRDefault="009E78B2" w:rsidP="009E78B2">
      <w:pPr>
        <w:pStyle w:val="rtejustify"/>
        <w:spacing w:before="0" w:beforeAutospacing="0" w:after="0" w:afterAutospacing="0" w:line="360" w:lineRule="auto"/>
        <w:ind w:firstLine="709"/>
        <w:jc w:val="center"/>
        <w:textAlignment w:val="baseline"/>
        <w:rPr>
          <w:b/>
          <w:bCs/>
          <w:sz w:val="28"/>
          <w:szCs w:val="28"/>
        </w:rPr>
      </w:pPr>
      <w:r w:rsidRPr="009E78B2">
        <w:rPr>
          <w:b/>
          <w:bCs/>
          <w:sz w:val="28"/>
          <w:szCs w:val="28"/>
        </w:rPr>
        <w:t>ИЗМЕНЕНИЕ ДОГОВОРА ВСЛЕДСТВИЕ ИЗМЕНЕНИЯ ОБЯЗАТЕЛЬСТВ</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Гражданский кодекс РФ (далее по тексту - ГК РФ)</w:t>
      </w:r>
      <w:r w:rsidR="009E78B2" w:rsidRPr="009E78B2">
        <w:rPr>
          <w:sz w:val="28"/>
          <w:szCs w:val="28"/>
        </w:rPr>
        <w:t xml:space="preserve"> [1]</w:t>
      </w:r>
      <w:r>
        <w:rPr>
          <w:sz w:val="28"/>
          <w:szCs w:val="28"/>
        </w:rPr>
        <w:t xml:space="preserve"> различает два возможных правовых последствия применения института существенного изменения обстоятельств: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1) договор либо расторгается,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2) либо изменяется путем приведения его в соответствие с существенно изменившимися обстоятельствами.</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Следует особо отметить, что п. 4 ст. 451 ГК РФ исходит из принципа исключительности изменения договора судом: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В части реализации данного принципа правоприменитель весьма однозначен в своих позициях. Так, по мнению суда, даже при наличии существенно изменившихся обстоятельств изменение договора судебным решением по правилам ст. 451 ГК РФ допускается в исключительных случаях.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А.М. Эрделевский, буквально толкуя ст. 451 ГК РФ, утверждает, что «по общему правилу существенное изменение обстоятельств должно влечь расторжение договора. Изменение судом условия договора представляет собой большую, по сравнению с расторжением договора, степень вмешательства в распорядительную самостоятельность участников гражданских правоотношений, поэтому оно допускается лишь в исключительных случаях для защиты общественных интересов или интересов сторон договора»</w:t>
      </w:r>
      <w:r w:rsidR="009E78B2" w:rsidRPr="009E78B2">
        <w:rPr>
          <w:sz w:val="28"/>
          <w:szCs w:val="28"/>
        </w:rPr>
        <w:t xml:space="preserve"> [2]</w:t>
      </w:r>
      <w:r>
        <w:rPr>
          <w:sz w:val="28"/>
          <w:szCs w:val="28"/>
        </w:rPr>
        <w:t xml:space="preserve">.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lastRenderedPageBreak/>
        <w:t xml:space="preserve">Проводимая реформа гражданского законодательства своими преобразованиями коснулась многих положений ГК РФ, в том числе, общих положений о договоре, его изменения и расторжения.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Законодатель определяет ряд оснований для изменения и расторжения договора, а именно: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1) соглашение сторон;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2) существенное нарушение договора;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3) иные случаи, предусмотренные ГК РФ, другими законами или договорами;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4) односторонний отказ от исполнения договора полностью или частично.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К таким изменениям можно отнести, п. 1 ст. 450 ГК РФ, согласно которому у сторон появилось право предусмотреть условие об изменении и расторжении договора по соглашению как всех, так и большинства лиц, участвующих в указанном договоре, если иное не установлено законом. </w:t>
      </w:r>
      <w:r w:rsidRPr="00375E0A">
        <w:rPr>
          <w:sz w:val="28"/>
          <w:szCs w:val="28"/>
        </w:rPr>
        <w:t>Указанный пункт статьи введен Федеральным законом от 8 марта 2015 г.</w:t>
      </w:r>
      <w:r>
        <w:rPr>
          <w:sz w:val="28"/>
          <w:szCs w:val="28"/>
        </w:rPr>
        <w:t xml:space="preserve"> №</w:t>
      </w:r>
      <w:r w:rsidRPr="00375E0A">
        <w:rPr>
          <w:sz w:val="28"/>
          <w:szCs w:val="28"/>
        </w:rPr>
        <w:t xml:space="preserve"> 42-</w:t>
      </w:r>
      <w:r>
        <w:rPr>
          <w:sz w:val="28"/>
          <w:szCs w:val="28"/>
        </w:rPr>
        <w:t xml:space="preserve">ФЗ «О внесении изменений в часть первую Гражданского кодекса Российской Федерации» (далее ФЗ № 42-ФЗ), но в Концепции развития гражданского законодательства России о необходимости соответствующего изменения не говорилось.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Значение данного изменения состоит в том, что появилась возможность урегулирования отношений, связанных с расторжением (изменением) многосторонних договоров в сфере предпринимательской деятельности. Изменения коснулись и п. 4 ст. 450 ГК РФ, согласно которому сторона, имеющая право на одностороннее изменение условий договора, должна действовать добросовестно и разумно.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На наш взгляд, данная норма была введена с целью правового запрета злоупотребления сторонами своими правами, недопущения незаконного и недобросовестного поведения участников гражданского оборота при одностороннем изменении и расторжении договора.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lastRenderedPageBreak/>
        <w:t>Обязательным условием изменения или расторжения договора в судебном порядке по требованию одной из сторон является соблюдение досудебной процедуры урегулирования разногласий. Заинтересованная сторона до обращения в суд должна направить другой стороне свое предложение изменить или расторгнуть договор. Иск в суд может быть предъявлен в случае получения отказа другой стороны на предложение об изменении или расторжении договора, или неполучения ответа на соответствующее предложение в 30-дневный срок. В случае нарушения установленного досудебного порядка урегулирования такого спора суд будет обязан оставить исковое заявление без рассмотрения. Чаще всего изменение и расторжение договора совершается в связи с существенным изменением обстоятельств, по сравнению с теми из которых стороны исходили при заключении договора.</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Важно указать, что на данный момент статья 451 ГК РФ не применяет на практике. На положения данной статьи не ссылаются ни в обзорах судебной практики, ни в актах толкования на уровне высших судов. Потенциал, заложенный в данную статью законодателем велик. С учетом нестабильного положения российской экономики, которое наблюдается сегодня, факт мертворожденной нормы кажется парадоксальным, так как, законодатель в статье 451 ГК РФ учел вероятность образования таких непредвиденных обстоятельств, при которых стороны, вступающие в правоотношения, оказываются в невыгодных кабальных условиях (изменение курса рубля, санкции и т.д.).</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На сегодняшний день, финансовый кризис и неблагоприятная экономическая ситуация, судебной практикой не признается как существенные изменения обстоятельств, наступления которых сторона по договору не могла предвидеть в момент заключения такого договора. По мнению правоприменителя, изменение денежно-кредитной и валютной политики, вызванное мировым финансовым кризисом, само по себе нельзя расценивать как существенное изменение обстоятельств.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lastRenderedPageBreak/>
        <w:t>По мнению ученого К.С. Безика суды неправильно трактуют положение статьи 451 ГК РФ, обесценивая ее, и нарушая тем самым законные права и интересы сторон, которые при заключении договора, располагают возможностью воспользоваться правом, предусмотренным в указанной статье</w:t>
      </w:r>
      <w:r w:rsidR="009E78B2" w:rsidRPr="009E78B2">
        <w:rPr>
          <w:sz w:val="28"/>
          <w:szCs w:val="28"/>
        </w:rPr>
        <w:t xml:space="preserve"> [3, </w:t>
      </w:r>
      <w:r w:rsidR="009E78B2">
        <w:rPr>
          <w:sz w:val="28"/>
          <w:szCs w:val="28"/>
          <w:lang w:val="en-US"/>
        </w:rPr>
        <w:t>c</w:t>
      </w:r>
      <w:r w:rsidR="009E78B2" w:rsidRPr="009E78B2">
        <w:rPr>
          <w:sz w:val="28"/>
          <w:szCs w:val="28"/>
        </w:rPr>
        <w:t>. 18]</w:t>
      </w:r>
      <w:r>
        <w:rPr>
          <w:sz w:val="28"/>
          <w:szCs w:val="28"/>
        </w:rPr>
        <w:t>.</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В практике часто возникают ситуации, когда существенное изменение условий исполнения обязательства по договору, может принести одной стороне двойной убыток, а ее контрагенту – двойную прибыль. На сегодняшний день без решения остается вопрос о том, что риск изменения обстоятельств лежит на истце, стороне договора. Согласно ГК РФ, стороны при заключении договора исходят из добросовестного поведения контрагента и одинаковой оценки возможности наступления обстоятельства.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Также, внесенными изменениями ГК РФ был дополнен ст. 450.1, благодаря которой правовое регулирование получила процедура отказа от исполнения договора или от осуществления прав по договору в одностороннем порядке.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Основная цель введения данной статьи в ГК РФ стояла в обеспечении стабильности гражданского оборота. Дополнение ГК РФ ст. 450.1 разрешило проблемы, связанные с невозможностью реализации одностороннего отказа от договора, а также способа отказа от договора, момента прекращения в результате реализации такого отказа.</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Изменения коснулись также и последствий изменения и расторжения договора. Так, п. 2 ст. 453 ГК РФ был дополнен следующим положением: обязательства сторон прекращаются, если иное не предусмотрено законом, договором или не вытекает из существа обязательства.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Новая редакция п. 2 ст. 453 ГК РФ позволяет не только законодательно предусмотреть случаи сохранения в силе обязательств сторон при расторжении договора, но и расширяет свободу сторон договора. При этом еще до принятия ФЗ № 42-ФЗ в практике получил закрепление подход, </w:t>
      </w:r>
      <w:r>
        <w:rPr>
          <w:sz w:val="28"/>
          <w:szCs w:val="28"/>
        </w:rPr>
        <w:lastRenderedPageBreak/>
        <w:t xml:space="preserve">согласно которому существуют две группы условий договора, сохраняющие по общему правилу свое действие и после расторжения договора.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Это, во-первых, условия договора, которые в силу своей природы предполагают их применение и после расторжения договора. К таким относят гарантийные обязательства в отношении товаров или работ по расторгнутому впоследствии договору; условие о рассмотрении споров по договору в третейском суде, соглашения о подсудности, о применимом праве и т.п.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 xml:space="preserve">Во-вторых, условия, имеющие целью регулирование отношений сторон в период после расторжения. Например, об условиях возврата предмета аренды после расторжения договора, о порядке возврата уплаченного аванса и т.п. </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Таким образом, внесение данных дополнений в ГК РФ было необходимо для определения дальнейшей правовой природы обязательств после прекращения договора. Формулировка п. 2 ст. 453 ГК РФ действовавшая до внесения изменений указывала только на прекращение договора и не допускала других вариантов. В силу этого она не могла решить ситуации, возникающие на практике</w:t>
      </w:r>
      <w:r w:rsidR="009E78B2" w:rsidRPr="009E78B2">
        <w:rPr>
          <w:sz w:val="28"/>
          <w:szCs w:val="28"/>
        </w:rPr>
        <w:t xml:space="preserve"> [4, </w:t>
      </w:r>
      <w:r w:rsidR="009E78B2">
        <w:rPr>
          <w:sz w:val="28"/>
          <w:szCs w:val="28"/>
          <w:lang w:val="en-US"/>
        </w:rPr>
        <w:t>c</w:t>
      </w:r>
      <w:r w:rsidR="009E78B2" w:rsidRPr="009E78B2">
        <w:rPr>
          <w:sz w:val="28"/>
          <w:szCs w:val="28"/>
        </w:rPr>
        <w:t>. 142]</w:t>
      </w:r>
      <w:r>
        <w:rPr>
          <w:sz w:val="28"/>
          <w:szCs w:val="28"/>
        </w:rPr>
        <w:t>.</w:t>
      </w:r>
    </w:p>
    <w:p w:rsidR="00F145FD" w:rsidRDefault="00F145FD" w:rsidP="00F145FD">
      <w:pPr>
        <w:pStyle w:val="rtejustify"/>
        <w:spacing w:before="0" w:beforeAutospacing="0" w:after="0" w:afterAutospacing="0" w:line="360" w:lineRule="auto"/>
        <w:ind w:firstLine="709"/>
        <w:jc w:val="both"/>
        <w:textAlignment w:val="baseline"/>
        <w:rPr>
          <w:sz w:val="28"/>
          <w:szCs w:val="28"/>
        </w:rPr>
      </w:pPr>
      <w:r>
        <w:rPr>
          <w:sz w:val="28"/>
          <w:szCs w:val="28"/>
        </w:rPr>
        <w:t>Анализируя проделанную реформу, следует отметить, что ряд новелл действительно оказались востребованы в юридической практике. Благодаря проделанной реформе положения, необходимые законодательству стали полностью легальными.</w:t>
      </w:r>
    </w:p>
    <w:p w:rsidR="009E78B2" w:rsidRDefault="009E78B2" w:rsidP="00F145FD">
      <w:pPr>
        <w:pStyle w:val="rtejustify"/>
        <w:spacing w:before="0" w:beforeAutospacing="0" w:after="0" w:afterAutospacing="0" w:line="360" w:lineRule="auto"/>
        <w:ind w:firstLine="709"/>
        <w:jc w:val="both"/>
        <w:textAlignment w:val="baseline"/>
        <w:rPr>
          <w:sz w:val="28"/>
          <w:szCs w:val="28"/>
        </w:rPr>
      </w:pPr>
    </w:p>
    <w:p w:rsidR="009E78B2" w:rsidRDefault="009E78B2" w:rsidP="009E78B2">
      <w:pPr>
        <w:pStyle w:val="rtejustify"/>
        <w:spacing w:before="0" w:beforeAutospacing="0" w:after="0" w:afterAutospacing="0" w:line="360" w:lineRule="auto"/>
        <w:ind w:firstLine="709"/>
        <w:jc w:val="center"/>
        <w:textAlignment w:val="baseline"/>
        <w:rPr>
          <w:sz w:val="28"/>
          <w:szCs w:val="28"/>
        </w:rPr>
      </w:pPr>
      <w:r>
        <w:rPr>
          <w:sz w:val="28"/>
          <w:szCs w:val="28"/>
        </w:rPr>
        <w:t>Список использованных источников:</w:t>
      </w:r>
    </w:p>
    <w:p w:rsidR="009E78B2" w:rsidRPr="009E78B2" w:rsidRDefault="009E78B2" w:rsidP="009E78B2">
      <w:pPr>
        <w:pStyle w:val="rtejustify"/>
        <w:spacing w:before="0" w:beforeAutospacing="0" w:after="0" w:afterAutospacing="0" w:line="360" w:lineRule="auto"/>
        <w:ind w:firstLine="709"/>
        <w:jc w:val="both"/>
        <w:textAlignment w:val="baseline"/>
        <w:rPr>
          <w:sz w:val="28"/>
          <w:szCs w:val="28"/>
        </w:rPr>
      </w:pPr>
      <w:r w:rsidRPr="009E78B2">
        <w:rPr>
          <w:sz w:val="28"/>
          <w:szCs w:val="28"/>
        </w:rPr>
        <w:t>1. Гражданский кодекс Российской Федерации (часть первая) федер. закон от. 30.11.1994 № 51-ФЗ. Доступ из СПС «КонсультантПлюс».</w:t>
      </w:r>
    </w:p>
    <w:p w:rsidR="009E78B2" w:rsidRPr="009E78B2" w:rsidRDefault="009E78B2" w:rsidP="009E78B2">
      <w:pPr>
        <w:pStyle w:val="rtejustify"/>
        <w:spacing w:before="0" w:beforeAutospacing="0" w:after="0" w:afterAutospacing="0" w:line="360" w:lineRule="auto"/>
        <w:ind w:firstLine="709"/>
        <w:jc w:val="both"/>
        <w:textAlignment w:val="baseline"/>
        <w:rPr>
          <w:sz w:val="28"/>
          <w:szCs w:val="28"/>
        </w:rPr>
      </w:pPr>
      <w:r w:rsidRPr="009E78B2">
        <w:rPr>
          <w:sz w:val="28"/>
          <w:szCs w:val="28"/>
        </w:rPr>
        <w:t>2. Hesselink M.W., Vries G.J.P. de. Principles of European Contract Law. Kluwer, 2001. P. С. 257.</w:t>
      </w:r>
    </w:p>
    <w:p w:rsidR="009E78B2" w:rsidRPr="009E78B2" w:rsidRDefault="009E78B2" w:rsidP="009E78B2">
      <w:pPr>
        <w:pStyle w:val="rtejustify"/>
        <w:spacing w:before="0" w:beforeAutospacing="0" w:after="0" w:afterAutospacing="0" w:line="360" w:lineRule="auto"/>
        <w:ind w:firstLine="709"/>
        <w:jc w:val="both"/>
        <w:textAlignment w:val="baseline"/>
        <w:rPr>
          <w:sz w:val="28"/>
          <w:szCs w:val="28"/>
        </w:rPr>
      </w:pPr>
      <w:r w:rsidRPr="009E78B2">
        <w:rPr>
          <w:sz w:val="28"/>
          <w:szCs w:val="28"/>
        </w:rPr>
        <w:lastRenderedPageBreak/>
        <w:t>3. Безик К. С. Некоторые проблемы изменения и расторжения договоров в связи с существенным изменением обстоятельств. Иркутск, 2014. С. 18–24.</w:t>
      </w:r>
    </w:p>
    <w:p w:rsidR="009E78B2" w:rsidRPr="009E78B2" w:rsidRDefault="009E78B2" w:rsidP="009E78B2">
      <w:pPr>
        <w:pStyle w:val="rtejustify"/>
        <w:spacing w:before="0" w:beforeAutospacing="0" w:after="0" w:afterAutospacing="0" w:line="360" w:lineRule="auto"/>
        <w:ind w:firstLine="709"/>
        <w:jc w:val="both"/>
        <w:textAlignment w:val="baseline"/>
        <w:rPr>
          <w:sz w:val="28"/>
          <w:szCs w:val="28"/>
        </w:rPr>
      </w:pPr>
      <w:r w:rsidRPr="009E78B2">
        <w:rPr>
          <w:sz w:val="28"/>
          <w:szCs w:val="28"/>
        </w:rPr>
        <w:t>4. Соменков С. А. Последствия расторжения договора в свете реформы гражданского законодательства // Вестник университета имени О.Е. Кутафина 2015. №10. С. 142-152.</w:t>
      </w:r>
    </w:p>
    <w:p w:rsidR="009E78B2" w:rsidRDefault="009E78B2" w:rsidP="00F145FD">
      <w:pPr>
        <w:pStyle w:val="rtejustify"/>
        <w:spacing w:before="0" w:beforeAutospacing="0" w:after="0" w:afterAutospacing="0" w:line="360" w:lineRule="auto"/>
        <w:ind w:firstLine="709"/>
        <w:jc w:val="both"/>
        <w:textAlignment w:val="baseline"/>
        <w:rPr>
          <w:sz w:val="28"/>
          <w:szCs w:val="28"/>
        </w:rPr>
      </w:pPr>
    </w:p>
    <w:p w:rsidR="009E78B2" w:rsidRDefault="009E78B2" w:rsidP="00F145FD">
      <w:pPr>
        <w:pStyle w:val="rtejustify"/>
        <w:spacing w:before="0" w:beforeAutospacing="0" w:after="0" w:afterAutospacing="0" w:line="360" w:lineRule="auto"/>
        <w:ind w:firstLine="709"/>
        <w:jc w:val="both"/>
        <w:textAlignment w:val="baseline"/>
        <w:rPr>
          <w:sz w:val="28"/>
          <w:szCs w:val="28"/>
        </w:rPr>
      </w:pPr>
    </w:p>
    <w:p w:rsidR="00A71B49" w:rsidRPr="009E78B2" w:rsidRDefault="00A71B49" w:rsidP="009E78B2">
      <w:pPr>
        <w:pStyle w:val="rtejustify"/>
        <w:spacing w:before="0" w:beforeAutospacing="0" w:after="0" w:afterAutospacing="0" w:line="360" w:lineRule="auto"/>
        <w:ind w:firstLine="709"/>
        <w:jc w:val="both"/>
        <w:textAlignment w:val="baseline"/>
        <w:rPr>
          <w:sz w:val="28"/>
          <w:szCs w:val="28"/>
        </w:rPr>
      </w:pPr>
    </w:p>
    <w:sectPr w:rsidR="00A71B49" w:rsidRPr="009E78B2" w:rsidSect="00411D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B08" w:rsidRDefault="00811B08" w:rsidP="008078B5">
      <w:r>
        <w:separator/>
      </w:r>
    </w:p>
  </w:endnote>
  <w:endnote w:type="continuationSeparator" w:id="1">
    <w:p w:rsidR="00811B08" w:rsidRDefault="00811B08" w:rsidP="00807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B08" w:rsidRDefault="00811B08" w:rsidP="008078B5">
      <w:r>
        <w:separator/>
      </w:r>
    </w:p>
  </w:footnote>
  <w:footnote w:type="continuationSeparator" w:id="1">
    <w:p w:rsidR="00811B08" w:rsidRDefault="00811B08" w:rsidP="00807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2205"/>
    <w:rsid w:val="00411DEB"/>
    <w:rsid w:val="004203DE"/>
    <w:rsid w:val="004B0076"/>
    <w:rsid w:val="008078B5"/>
    <w:rsid w:val="00811B08"/>
    <w:rsid w:val="00932205"/>
    <w:rsid w:val="009E78B2"/>
    <w:rsid w:val="00A71B49"/>
    <w:rsid w:val="00A96C8F"/>
    <w:rsid w:val="00D02769"/>
    <w:rsid w:val="00F145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B5"/>
    <w:pPr>
      <w:spacing w:after="0" w:line="240" w:lineRule="auto"/>
      <w:jc w:val="both"/>
    </w:pPr>
    <w:rPr>
      <w:rFonts w:ascii="Times New Roman" w:eastAsia="Times New Roman" w:hAnsi="Times New Roman" w:cs="Times New Roman"/>
      <w:color w:val="000000"/>
      <w:sz w:val="26"/>
      <w:szCs w:val="28"/>
      <w:lang w:eastAsia="ru-RU"/>
    </w:rPr>
  </w:style>
  <w:style w:type="paragraph" w:styleId="9">
    <w:name w:val="heading 9"/>
    <w:basedOn w:val="a"/>
    <w:next w:val="a"/>
    <w:link w:val="90"/>
    <w:uiPriority w:val="9"/>
    <w:semiHidden/>
    <w:unhideWhenUsed/>
    <w:qFormat/>
    <w:rsid w:val="00A96C8F"/>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аша"/>
    <w:basedOn w:val="9"/>
    <w:link w:val="a4"/>
    <w:qFormat/>
    <w:rsid w:val="00A96C8F"/>
    <w:pPr>
      <w:spacing w:line="276" w:lineRule="auto"/>
      <w:jc w:val="center"/>
    </w:pPr>
    <w:rPr>
      <w:rFonts w:ascii="Times New Roman" w:hAnsi="Times New Roman"/>
      <w:b/>
      <w:i w:val="0"/>
      <w:sz w:val="28"/>
    </w:rPr>
  </w:style>
  <w:style w:type="character" w:customStyle="1" w:styleId="a4">
    <w:name w:val="Заголовок даша Знак"/>
    <w:basedOn w:val="90"/>
    <w:link w:val="a3"/>
    <w:rsid w:val="00A96C8F"/>
    <w:rPr>
      <w:rFonts w:ascii="Times New Roman" w:eastAsiaTheme="majorEastAsia" w:hAnsi="Times New Roman" w:cstheme="majorBidi"/>
      <w:b/>
      <w:i w:val="0"/>
      <w:iCs/>
      <w:color w:val="272727" w:themeColor="text1" w:themeTint="D8"/>
      <w:sz w:val="28"/>
      <w:szCs w:val="21"/>
    </w:rPr>
  </w:style>
  <w:style w:type="character" w:customStyle="1" w:styleId="90">
    <w:name w:val="Заголовок 9 Знак"/>
    <w:basedOn w:val="a0"/>
    <w:link w:val="9"/>
    <w:uiPriority w:val="9"/>
    <w:semiHidden/>
    <w:rsid w:val="00A96C8F"/>
    <w:rPr>
      <w:rFonts w:asciiTheme="majorHAnsi" w:eastAsiaTheme="majorEastAsia" w:hAnsiTheme="majorHAnsi" w:cstheme="majorBidi"/>
      <w:i/>
      <w:iCs/>
      <w:color w:val="272727" w:themeColor="text1" w:themeTint="D8"/>
      <w:sz w:val="21"/>
      <w:szCs w:val="21"/>
    </w:rPr>
  </w:style>
  <w:style w:type="paragraph" w:styleId="a5">
    <w:name w:val="footnote text"/>
    <w:aliases w:val="Знак,Текст сноски Знак1,Текст сноски Знак Знак,Текст сноски Знак Знак Знак,Текст сноски Знак1 Знак1 Знак,Текст сноски Знак Знак1 Знак Знак,Текст сноски Знак1 Знак Знак Знак Знак,Текст сноски Знак Знак Знак Знак Знак Знак1,Знак Знак, Знак,f"/>
    <w:basedOn w:val="a"/>
    <w:link w:val="a6"/>
    <w:uiPriority w:val="99"/>
    <w:unhideWhenUsed/>
    <w:rsid w:val="008078B5"/>
    <w:pPr>
      <w:jc w:val="left"/>
    </w:pPr>
    <w:rPr>
      <w:rFonts w:asciiTheme="minorHAnsi" w:eastAsiaTheme="minorHAnsi" w:hAnsiTheme="minorHAnsi" w:cstheme="minorBidi"/>
      <w:color w:val="auto"/>
      <w:sz w:val="20"/>
      <w:szCs w:val="20"/>
      <w:lang w:eastAsia="en-US"/>
    </w:rPr>
  </w:style>
  <w:style w:type="character" w:customStyle="1" w:styleId="a6">
    <w:name w:val="Текст сноски Знак"/>
    <w:aliases w:val="Знак Знак1,Текст сноски Знак1 Знак,Текст сноски Знак Знак Знак1,Текст сноски Знак Знак Знак Знак,Текст сноски Знак1 Знак1 Знак Знак,Текст сноски Знак Знак1 Знак Знак Знак,Текст сноски Знак1 Знак Знак Знак Знак Знак,Знак Знак Знак"/>
    <w:basedOn w:val="a0"/>
    <w:link w:val="a5"/>
    <w:uiPriority w:val="99"/>
    <w:rsid w:val="008078B5"/>
    <w:rPr>
      <w:sz w:val="20"/>
      <w:szCs w:val="20"/>
    </w:rPr>
  </w:style>
  <w:style w:type="character" w:styleId="a7">
    <w:name w:val="footnote reference"/>
    <w:aliases w:val="FZ,Знак сноски-FN,Ciae niinee-FN,Footnotes refss,Текст сновски,Ciae niinee I,Знак сноски Н,fr,Appel note de bas de page,Знак сноски 1,Ref,de nota al pie"/>
    <w:basedOn w:val="a0"/>
    <w:uiPriority w:val="99"/>
    <w:unhideWhenUsed/>
    <w:rsid w:val="008078B5"/>
    <w:rPr>
      <w:vertAlign w:val="superscript"/>
    </w:rPr>
  </w:style>
  <w:style w:type="paragraph" w:customStyle="1" w:styleId="rtejustify">
    <w:name w:val="rtejustify"/>
    <w:basedOn w:val="a"/>
    <w:rsid w:val="008078B5"/>
    <w:pPr>
      <w:spacing w:before="100" w:beforeAutospacing="1" w:after="100" w:afterAutospacing="1"/>
      <w:jc w:val="left"/>
    </w:pPr>
    <w:rPr>
      <w:color w:val="auto"/>
      <w:sz w:val="24"/>
      <w:szCs w:val="24"/>
    </w:rPr>
  </w:style>
  <w:style w:type="character" w:styleId="a8">
    <w:name w:val="Hyperlink"/>
    <w:basedOn w:val="a0"/>
    <w:uiPriority w:val="99"/>
    <w:unhideWhenUsed/>
    <w:rsid w:val="00F145F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Мурычева</dc:creator>
  <cp:lastModifiedBy>vlada</cp:lastModifiedBy>
  <cp:revision>2</cp:revision>
  <dcterms:created xsi:type="dcterms:W3CDTF">2021-06-08T07:35:00Z</dcterms:created>
  <dcterms:modified xsi:type="dcterms:W3CDTF">2021-06-08T07:35:00Z</dcterms:modified>
</cp:coreProperties>
</file>