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2B553B" w14:textId="5267A206" w:rsidR="00962572" w:rsidRDefault="00962572" w:rsidP="00962572">
      <w:pPr>
        <w:pStyle w:val="3"/>
        <w:spacing w:line="360" w:lineRule="auto"/>
        <w:jc w:val="both"/>
        <w:rPr>
          <w:rFonts w:ascii="Times New Roman" w:hAnsi="Times New Roman" w:cs="Times New Roman"/>
          <w:color w:val="000000" w:themeColor="text1"/>
          <w:sz w:val="28"/>
          <w:szCs w:val="28"/>
        </w:rPr>
      </w:pPr>
      <w:r w:rsidRPr="00962572">
        <w:rPr>
          <w:rFonts w:ascii="Times New Roman" w:hAnsi="Times New Roman" w:cs="Times New Roman"/>
          <w:color w:val="000000" w:themeColor="text1"/>
          <w:sz w:val="28"/>
          <w:szCs w:val="28"/>
        </w:rPr>
        <w:t>Уголовная ответственность за хулиганство по зарубежному законодательству</w:t>
      </w:r>
    </w:p>
    <w:p w14:paraId="6CBFA88D" w14:textId="77777777" w:rsidR="00962572" w:rsidRPr="00962572" w:rsidRDefault="00962572" w:rsidP="00962572"/>
    <w:p w14:paraId="377177AD" w14:textId="77777777" w:rsidR="00962572" w:rsidRPr="00962572" w:rsidRDefault="00962572" w:rsidP="00962572">
      <w:pPr>
        <w:spacing w:after="0" w:line="360" w:lineRule="auto"/>
        <w:ind w:firstLine="709"/>
        <w:jc w:val="both"/>
        <w:rPr>
          <w:rFonts w:ascii="Times New Roman" w:hAnsi="Times New Roman" w:cs="Times New Roman"/>
          <w:color w:val="000000"/>
          <w:sz w:val="28"/>
          <w:szCs w:val="28"/>
        </w:rPr>
      </w:pPr>
      <w:r w:rsidRPr="00962572">
        <w:rPr>
          <w:rFonts w:ascii="Times New Roman" w:hAnsi="Times New Roman" w:cs="Times New Roman"/>
          <w:color w:val="000000"/>
          <w:sz w:val="28"/>
          <w:szCs w:val="28"/>
        </w:rPr>
        <w:t>Не вызывает сомнений, что сравнительно-правовой анализ норм зарубежного уголовно законодательства, устанавливающих ответственность за хулиганство, является эффективным средством, позволяющим выявить те позитивные черты, которые мог бы перенять отечественный законодатель с целью совершенствования норм российского уголовно закона. В качестве объекта для сравнительного анализа, на наш взгляд, значительный интерес представляет уголовное законодательство стран ближнего и дальнего зарубежья.</w:t>
      </w:r>
    </w:p>
    <w:p w14:paraId="1708E704" w14:textId="77777777" w:rsidR="00962572" w:rsidRPr="00962572" w:rsidRDefault="00962572" w:rsidP="00962572">
      <w:pPr>
        <w:spacing w:after="0" w:line="360" w:lineRule="auto"/>
        <w:ind w:firstLine="709"/>
        <w:jc w:val="both"/>
        <w:rPr>
          <w:rFonts w:ascii="Times New Roman" w:hAnsi="Times New Roman" w:cs="Times New Roman"/>
          <w:color w:val="000000"/>
          <w:sz w:val="28"/>
          <w:szCs w:val="28"/>
        </w:rPr>
      </w:pPr>
      <w:r w:rsidRPr="00962572">
        <w:rPr>
          <w:rFonts w:ascii="Times New Roman" w:hAnsi="Times New Roman" w:cs="Times New Roman"/>
          <w:color w:val="000000"/>
          <w:sz w:val="28"/>
          <w:szCs w:val="28"/>
        </w:rPr>
        <w:t xml:space="preserve">Анализ уголовного законодательства зарубежных стран демонстрирует различные подходы к законодательному решению вопроса об определении понятия и признаков хулиганства и к установлению санкций за его совершение. При этом следует отметить, что характерной чертой уголовного законодательства бывших союзных республик в части ответственности за преступления против общественного порядка является сохранение в кодексах норм о хулиганстве, которые практически не изменились со времени распада Советского Союза, за исключением отдельных моментов, которые учитывают региональную специфику и новые исторические условия. </w:t>
      </w:r>
    </w:p>
    <w:p w14:paraId="4B933CA6" w14:textId="14BCF436" w:rsidR="00962572" w:rsidRPr="00962572" w:rsidRDefault="00962572" w:rsidP="00962572">
      <w:pPr>
        <w:spacing w:after="0" w:line="360" w:lineRule="auto"/>
        <w:ind w:firstLine="709"/>
        <w:jc w:val="both"/>
        <w:rPr>
          <w:rFonts w:ascii="Times New Roman" w:hAnsi="Times New Roman" w:cs="Times New Roman"/>
          <w:color w:val="000000"/>
          <w:sz w:val="28"/>
          <w:szCs w:val="28"/>
        </w:rPr>
      </w:pPr>
      <w:r w:rsidRPr="00962572">
        <w:rPr>
          <w:rFonts w:ascii="Times New Roman" w:hAnsi="Times New Roman" w:cs="Times New Roman"/>
          <w:color w:val="000000"/>
          <w:sz w:val="28"/>
          <w:szCs w:val="28"/>
        </w:rPr>
        <w:t>Признаки «грубое нарушение общественного порядка и явное неуважение к обществу» остались основополагающими при определении хулиганства и хулиганских мотивов. В ст. 296 УК Украины (Хулиганство) данные признаки дополняются также признаком «особая дерзость или исключительный цинизм»</w:t>
      </w:r>
      <w:r w:rsidR="00342238" w:rsidRPr="00342238">
        <w:rPr>
          <w:rFonts w:ascii="Times New Roman" w:hAnsi="Times New Roman" w:cs="Times New Roman"/>
          <w:color w:val="000000"/>
          <w:sz w:val="28"/>
          <w:szCs w:val="28"/>
        </w:rPr>
        <w:t xml:space="preserve"> [1]</w:t>
      </w:r>
      <w:r w:rsidRPr="00962572">
        <w:rPr>
          <w:rFonts w:ascii="Times New Roman" w:hAnsi="Times New Roman" w:cs="Times New Roman"/>
          <w:color w:val="000000"/>
          <w:sz w:val="28"/>
          <w:szCs w:val="28"/>
        </w:rPr>
        <w:t>.</w:t>
      </w:r>
    </w:p>
    <w:p w14:paraId="6A8A8EFC" w14:textId="6BA59465" w:rsidR="00962572" w:rsidRPr="00962572" w:rsidRDefault="00962572" w:rsidP="00962572">
      <w:pPr>
        <w:shd w:val="clear" w:color="auto" w:fill="FFFFFF"/>
        <w:spacing w:after="0" w:line="360" w:lineRule="auto"/>
        <w:ind w:firstLine="709"/>
        <w:jc w:val="both"/>
        <w:rPr>
          <w:rFonts w:ascii="Times New Roman" w:hAnsi="Times New Roman" w:cs="Times New Roman"/>
          <w:color w:val="000000"/>
          <w:sz w:val="28"/>
          <w:szCs w:val="28"/>
        </w:rPr>
      </w:pPr>
      <w:r w:rsidRPr="00962572">
        <w:rPr>
          <w:rFonts w:ascii="Times New Roman" w:hAnsi="Times New Roman" w:cs="Times New Roman"/>
          <w:color w:val="000000"/>
          <w:sz w:val="28"/>
          <w:szCs w:val="28"/>
        </w:rPr>
        <w:t>В ст. 339 УК Республики Беларусь указанные признаки дополняются применением насилия или угрозой его применения либо уничтожением или повреждением чужого имущества</w:t>
      </w:r>
      <w:r w:rsidR="00342238" w:rsidRPr="00342238">
        <w:rPr>
          <w:rFonts w:ascii="Times New Roman" w:hAnsi="Times New Roman" w:cs="Times New Roman"/>
          <w:color w:val="000000"/>
          <w:sz w:val="28"/>
          <w:szCs w:val="28"/>
        </w:rPr>
        <w:t xml:space="preserve"> [2]</w:t>
      </w:r>
      <w:r w:rsidRPr="00962572">
        <w:rPr>
          <w:rFonts w:ascii="Times New Roman" w:hAnsi="Times New Roman" w:cs="Times New Roman"/>
          <w:color w:val="000000"/>
          <w:sz w:val="28"/>
          <w:szCs w:val="28"/>
        </w:rPr>
        <w:t>, что свидетельствует о сходстве конструирования составов хулиганства с отечественным уголовным законом.</w:t>
      </w:r>
    </w:p>
    <w:p w14:paraId="609C3BDA" w14:textId="2143D772" w:rsidR="00962572" w:rsidRPr="00962572" w:rsidRDefault="00962572" w:rsidP="00962572">
      <w:pPr>
        <w:shd w:val="clear" w:color="auto" w:fill="FFFFFF"/>
        <w:spacing w:after="0" w:line="360" w:lineRule="auto"/>
        <w:ind w:firstLine="709"/>
        <w:jc w:val="both"/>
        <w:rPr>
          <w:rFonts w:ascii="Times New Roman" w:hAnsi="Times New Roman" w:cs="Times New Roman"/>
          <w:color w:val="000000"/>
          <w:sz w:val="28"/>
          <w:szCs w:val="28"/>
        </w:rPr>
      </w:pPr>
      <w:r w:rsidRPr="00962572">
        <w:rPr>
          <w:rFonts w:ascii="Times New Roman" w:hAnsi="Times New Roman" w:cs="Times New Roman"/>
          <w:color w:val="000000"/>
          <w:sz w:val="28"/>
          <w:szCs w:val="28"/>
        </w:rPr>
        <w:t xml:space="preserve">В ст. 257 УК Республики Казахстан (Хулиганство) признак «грубое нарушение общественного порядка» представлен в оригинальном виде – </w:t>
      </w:r>
      <w:r w:rsidRPr="00962572">
        <w:rPr>
          <w:rFonts w:ascii="Times New Roman" w:hAnsi="Times New Roman" w:cs="Times New Roman"/>
          <w:color w:val="000000"/>
          <w:sz w:val="28"/>
          <w:szCs w:val="28"/>
        </w:rPr>
        <w:lastRenderedPageBreak/>
        <w:t>«особо дерзкое нарушение общественного порядка»</w:t>
      </w:r>
      <w:r w:rsidR="00342238" w:rsidRPr="00342238">
        <w:rPr>
          <w:rFonts w:ascii="Times New Roman" w:hAnsi="Times New Roman" w:cs="Times New Roman"/>
          <w:color w:val="000000"/>
          <w:sz w:val="28"/>
          <w:szCs w:val="28"/>
        </w:rPr>
        <w:t xml:space="preserve"> [3]</w:t>
      </w:r>
      <w:r w:rsidRPr="00962572">
        <w:rPr>
          <w:rFonts w:ascii="Times New Roman" w:hAnsi="Times New Roman" w:cs="Times New Roman"/>
          <w:color w:val="000000"/>
          <w:sz w:val="28"/>
          <w:szCs w:val="28"/>
        </w:rPr>
        <w:t xml:space="preserve">. Явное неуважение к обществу осталось в нетронутом виде. </w:t>
      </w:r>
      <w:proofErr w:type="spellStart"/>
      <w:r w:rsidRPr="00962572">
        <w:rPr>
          <w:rFonts w:ascii="Times New Roman" w:hAnsi="Times New Roman" w:cs="Times New Roman"/>
          <w:color w:val="000000"/>
          <w:sz w:val="28"/>
          <w:szCs w:val="28"/>
        </w:rPr>
        <w:t>Криминообразующими</w:t>
      </w:r>
      <w:proofErr w:type="spellEnd"/>
      <w:r w:rsidRPr="00962572">
        <w:rPr>
          <w:rFonts w:ascii="Times New Roman" w:hAnsi="Times New Roman" w:cs="Times New Roman"/>
          <w:color w:val="000000"/>
          <w:sz w:val="28"/>
          <w:szCs w:val="28"/>
        </w:rPr>
        <w:t xml:space="preserve"> признаками помимо основных, характеризующих хулиганские мотивы, в УК Казахстана дополнены следующими: «применение насилия к гражданам либо угроза его применения, а равно уничтожение или повреждение чужого имущества, либо совершение непристойных действий, отличающихся исключительным цинизмом».</w:t>
      </w:r>
    </w:p>
    <w:p w14:paraId="64B10005" w14:textId="5DAE64E2" w:rsidR="00962572" w:rsidRPr="00962572" w:rsidRDefault="00962572" w:rsidP="00962572">
      <w:pPr>
        <w:shd w:val="clear" w:color="auto" w:fill="FFFFFF"/>
        <w:spacing w:after="0" w:line="360" w:lineRule="auto"/>
        <w:ind w:firstLine="709"/>
        <w:jc w:val="both"/>
        <w:rPr>
          <w:rFonts w:ascii="Times New Roman" w:hAnsi="Times New Roman" w:cs="Times New Roman"/>
          <w:color w:val="000000"/>
          <w:sz w:val="28"/>
          <w:szCs w:val="28"/>
        </w:rPr>
      </w:pPr>
      <w:r w:rsidRPr="00962572">
        <w:rPr>
          <w:rFonts w:ascii="Times New Roman" w:hAnsi="Times New Roman" w:cs="Times New Roman"/>
          <w:color w:val="000000"/>
          <w:sz w:val="28"/>
          <w:szCs w:val="28"/>
        </w:rPr>
        <w:t xml:space="preserve">Статья 258 УК Армении (Хулиганство) избрала традиционную конструкцию нормы, указав в качестве </w:t>
      </w:r>
      <w:proofErr w:type="spellStart"/>
      <w:r w:rsidRPr="00962572">
        <w:rPr>
          <w:rFonts w:ascii="Times New Roman" w:hAnsi="Times New Roman" w:cs="Times New Roman"/>
          <w:color w:val="000000"/>
          <w:sz w:val="28"/>
          <w:szCs w:val="28"/>
        </w:rPr>
        <w:t>криминообразующих</w:t>
      </w:r>
      <w:proofErr w:type="spellEnd"/>
      <w:r w:rsidRPr="00962572">
        <w:rPr>
          <w:rFonts w:ascii="Times New Roman" w:hAnsi="Times New Roman" w:cs="Times New Roman"/>
          <w:color w:val="000000"/>
          <w:sz w:val="28"/>
          <w:szCs w:val="28"/>
        </w:rPr>
        <w:t xml:space="preserve"> хулиганство признаков насилие или угрозу его применения, а также уничтожение или повреждение чужого имущества</w:t>
      </w:r>
      <w:r w:rsidR="00342238" w:rsidRPr="00342238">
        <w:rPr>
          <w:rFonts w:ascii="Times New Roman" w:hAnsi="Times New Roman" w:cs="Times New Roman"/>
          <w:color w:val="000000"/>
          <w:sz w:val="28"/>
          <w:szCs w:val="28"/>
        </w:rPr>
        <w:t xml:space="preserve"> [4]</w:t>
      </w:r>
      <w:r w:rsidRPr="00962572">
        <w:rPr>
          <w:rFonts w:ascii="Times New Roman" w:hAnsi="Times New Roman" w:cs="Times New Roman"/>
          <w:color w:val="000000"/>
          <w:sz w:val="28"/>
          <w:szCs w:val="28"/>
        </w:rPr>
        <w:t>.</w:t>
      </w:r>
    </w:p>
    <w:p w14:paraId="34A7FB73" w14:textId="77777777" w:rsidR="00962572" w:rsidRPr="00962572" w:rsidRDefault="00962572" w:rsidP="00962572">
      <w:pPr>
        <w:shd w:val="clear" w:color="auto" w:fill="FFFFFF"/>
        <w:spacing w:after="0" w:line="360" w:lineRule="auto"/>
        <w:ind w:firstLine="709"/>
        <w:jc w:val="both"/>
        <w:rPr>
          <w:rFonts w:ascii="Times New Roman" w:hAnsi="Times New Roman" w:cs="Times New Roman"/>
          <w:color w:val="000000"/>
          <w:sz w:val="28"/>
          <w:szCs w:val="28"/>
        </w:rPr>
      </w:pPr>
      <w:r w:rsidRPr="00962572">
        <w:rPr>
          <w:rFonts w:ascii="Times New Roman" w:hAnsi="Times New Roman" w:cs="Times New Roman"/>
          <w:color w:val="000000"/>
          <w:sz w:val="28"/>
          <w:szCs w:val="28"/>
        </w:rPr>
        <w:t>Таким образом, законодательство бывших союзных республик оставило в своих сборниках ответственность за хулиганство, охарактеризовав его теми же признаками в виде грубого нарушения общественного порядка и явного неуважения к обществу, которые характерны для ст. 213 УК РФ.</w:t>
      </w:r>
    </w:p>
    <w:p w14:paraId="2B66284C" w14:textId="77777777" w:rsidR="00962572" w:rsidRPr="00962572" w:rsidRDefault="00962572" w:rsidP="00962572">
      <w:pPr>
        <w:shd w:val="clear" w:color="auto" w:fill="FFFFFF"/>
        <w:spacing w:after="0" w:line="360" w:lineRule="auto"/>
        <w:ind w:firstLine="709"/>
        <w:jc w:val="both"/>
        <w:rPr>
          <w:rFonts w:ascii="Times New Roman" w:hAnsi="Times New Roman" w:cs="Times New Roman"/>
          <w:color w:val="000000"/>
          <w:sz w:val="28"/>
          <w:szCs w:val="28"/>
        </w:rPr>
      </w:pPr>
      <w:r w:rsidRPr="00962572">
        <w:rPr>
          <w:rFonts w:ascii="Times New Roman" w:hAnsi="Times New Roman" w:cs="Times New Roman"/>
          <w:color w:val="000000"/>
          <w:sz w:val="28"/>
          <w:szCs w:val="28"/>
        </w:rPr>
        <w:t>Иная картина в законодательстве стран дальнего зарубежья, в уголовных кодексах которых вообще отсутствует какое-либо упоминание о хулиганстве. В законодательных сборниках этих стран ответственность за преступления против общественного порядка установлена с соблюдением тех принципов, которые были присущи дореволюционному российскому законодательству, – в зависимости от конкретного места, от конкретных способов посягательства или цели посягательства и от конкретного вреда.</w:t>
      </w:r>
    </w:p>
    <w:p w14:paraId="0924A3F6" w14:textId="6A3DC4E2" w:rsidR="00962572" w:rsidRPr="00962572" w:rsidRDefault="00962572" w:rsidP="00962572">
      <w:pPr>
        <w:shd w:val="clear" w:color="auto" w:fill="FFFFFF"/>
        <w:spacing w:after="0" w:line="360" w:lineRule="auto"/>
        <w:ind w:firstLine="709"/>
        <w:jc w:val="both"/>
        <w:rPr>
          <w:rFonts w:ascii="Times New Roman" w:hAnsi="Times New Roman" w:cs="Times New Roman"/>
          <w:color w:val="000000"/>
          <w:sz w:val="28"/>
          <w:szCs w:val="28"/>
        </w:rPr>
      </w:pPr>
      <w:r w:rsidRPr="00962572">
        <w:rPr>
          <w:rFonts w:ascii="Times New Roman" w:hAnsi="Times New Roman" w:cs="Times New Roman"/>
          <w:color w:val="000000"/>
          <w:sz w:val="28"/>
          <w:szCs w:val="28"/>
        </w:rPr>
        <w:t>В главе 3 Уголовного кодекса Испании, которая называется «О публичных беспорядках», ст. 558 устанавливает ответственность тому, «кто тяжко нарушит общественный порядок на заседании, проводимом судьей или членом суда, во время публичных мероприятий, проводимых должностными лицами или объединениями, на избирательном участке, в государственном учреждении или предприятии, в учебном заведении или по ходу проведения культурных или спортивных представлений...»</w:t>
      </w:r>
      <w:r w:rsidR="00342238" w:rsidRPr="00342238">
        <w:rPr>
          <w:rFonts w:ascii="Times New Roman" w:hAnsi="Times New Roman" w:cs="Times New Roman"/>
          <w:color w:val="000000"/>
          <w:sz w:val="28"/>
          <w:szCs w:val="28"/>
        </w:rPr>
        <w:t xml:space="preserve"> </w:t>
      </w:r>
      <w:r w:rsidR="00342238">
        <w:rPr>
          <w:rFonts w:ascii="Times New Roman" w:hAnsi="Times New Roman" w:cs="Times New Roman"/>
          <w:color w:val="000000"/>
          <w:sz w:val="28"/>
          <w:szCs w:val="28"/>
          <w:lang w:val="en-US"/>
        </w:rPr>
        <w:t>[5]</w:t>
      </w:r>
      <w:r w:rsidRPr="00962572">
        <w:rPr>
          <w:rFonts w:ascii="Times New Roman" w:hAnsi="Times New Roman" w:cs="Times New Roman"/>
          <w:color w:val="000000"/>
          <w:sz w:val="28"/>
          <w:szCs w:val="28"/>
        </w:rPr>
        <w:t xml:space="preserve">. Неизвестно, как определяет испанский правоприменитель признак тяжести нарушения, но </w:t>
      </w:r>
      <w:r w:rsidRPr="00962572">
        <w:rPr>
          <w:rFonts w:ascii="Times New Roman" w:hAnsi="Times New Roman" w:cs="Times New Roman"/>
          <w:color w:val="000000"/>
          <w:sz w:val="28"/>
          <w:szCs w:val="28"/>
        </w:rPr>
        <w:lastRenderedPageBreak/>
        <w:t>нарушение в указанном в диспозиции статьи месте влечет уголовное преследование.</w:t>
      </w:r>
    </w:p>
    <w:p w14:paraId="5DB2B842" w14:textId="77777777" w:rsidR="00962572" w:rsidRPr="00962572" w:rsidRDefault="00962572" w:rsidP="00962572">
      <w:pPr>
        <w:shd w:val="clear" w:color="auto" w:fill="FFFFFF"/>
        <w:spacing w:after="0" w:line="360" w:lineRule="auto"/>
        <w:ind w:firstLine="709"/>
        <w:jc w:val="both"/>
        <w:rPr>
          <w:rFonts w:ascii="Times New Roman" w:hAnsi="Times New Roman" w:cs="Times New Roman"/>
          <w:color w:val="000000"/>
          <w:sz w:val="28"/>
          <w:szCs w:val="28"/>
        </w:rPr>
      </w:pPr>
      <w:r w:rsidRPr="00962572">
        <w:rPr>
          <w:rFonts w:ascii="Times New Roman" w:hAnsi="Times New Roman" w:cs="Times New Roman"/>
          <w:color w:val="000000"/>
          <w:sz w:val="28"/>
          <w:szCs w:val="28"/>
        </w:rPr>
        <w:t>Уголовное преследование, согласно ст. 559 УК Испании, наступает также в случае тяжкого нарушения общественного порядка с целью воспрепятствования какому-либо лицу осуществить свои гражданские права.</w:t>
      </w:r>
    </w:p>
    <w:p w14:paraId="331BB177" w14:textId="7DC9D8D2" w:rsidR="00962572" w:rsidRPr="00962572" w:rsidRDefault="00962572" w:rsidP="00962572">
      <w:pPr>
        <w:shd w:val="clear" w:color="auto" w:fill="FFFFFF"/>
        <w:spacing w:after="0" w:line="360" w:lineRule="auto"/>
        <w:ind w:firstLine="709"/>
        <w:jc w:val="both"/>
        <w:rPr>
          <w:rFonts w:ascii="Times New Roman" w:hAnsi="Times New Roman" w:cs="Times New Roman"/>
          <w:color w:val="000000"/>
          <w:sz w:val="28"/>
          <w:szCs w:val="28"/>
        </w:rPr>
      </w:pPr>
      <w:r w:rsidRPr="00962572">
        <w:rPr>
          <w:rFonts w:ascii="Times New Roman" w:hAnsi="Times New Roman" w:cs="Times New Roman"/>
          <w:color w:val="000000"/>
          <w:sz w:val="28"/>
          <w:szCs w:val="28"/>
        </w:rPr>
        <w:t>По Уголовному кодексу Японии преступления против общественного порядка не сосредоточены в одной главе. В УК Японии преступления, представляющие интерес для данного исследования, находятся в главе 8 «Преступления, состоящие в беспорядках»</w:t>
      </w:r>
      <w:r w:rsidR="00342238" w:rsidRPr="00342238">
        <w:rPr>
          <w:rFonts w:ascii="Times New Roman" w:hAnsi="Times New Roman" w:cs="Times New Roman"/>
          <w:color w:val="000000"/>
          <w:sz w:val="28"/>
          <w:szCs w:val="28"/>
        </w:rPr>
        <w:t xml:space="preserve"> [6]</w:t>
      </w:r>
      <w:r w:rsidRPr="00962572">
        <w:rPr>
          <w:rFonts w:ascii="Times New Roman" w:hAnsi="Times New Roman" w:cs="Times New Roman"/>
          <w:color w:val="000000"/>
          <w:sz w:val="28"/>
          <w:szCs w:val="28"/>
        </w:rPr>
        <w:t>, где в ст. 106 (Беспорядки) уголовная ответственность применяется к лицам, «осуществившим насилие или угрозы, собравшись толпой», а также в ст. 107, которая носит название (Невыполнение требования разойтись). Кроме того, в главе 22 «Преступления безнравственности, совращения, и двоебрачия» предусмотрена ст. 174 (Публичные непристойные действия), которая предусматривает ответственность за такие действия, что соответствует мелкому хулиганству по КоАП России.</w:t>
      </w:r>
    </w:p>
    <w:p w14:paraId="4873F9D2" w14:textId="3723DBF9" w:rsidR="00962572" w:rsidRPr="00962572" w:rsidRDefault="00962572" w:rsidP="00962572">
      <w:pPr>
        <w:shd w:val="clear" w:color="auto" w:fill="FFFFFF"/>
        <w:spacing w:after="0" w:line="360" w:lineRule="auto"/>
        <w:ind w:firstLine="709"/>
        <w:jc w:val="both"/>
        <w:rPr>
          <w:rFonts w:ascii="Times New Roman" w:hAnsi="Times New Roman" w:cs="Times New Roman"/>
          <w:color w:val="000000"/>
          <w:sz w:val="28"/>
          <w:szCs w:val="28"/>
        </w:rPr>
      </w:pPr>
      <w:r w:rsidRPr="00962572">
        <w:rPr>
          <w:rFonts w:ascii="Times New Roman" w:hAnsi="Times New Roman" w:cs="Times New Roman"/>
          <w:color w:val="000000"/>
          <w:sz w:val="28"/>
          <w:szCs w:val="28"/>
        </w:rPr>
        <w:t>Глава 6 УК Китая «Преступления против порядка общественного управления»</w:t>
      </w:r>
      <w:r w:rsidR="00342238" w:rsidRPr="00342238">
        <w:rPr>
          <w:rFonts w:ascii="Times New Roman" w:hAnsi="Times New Roman" w:cs="Times New Roman"/>
          <w:color w:val="000000"/>
          <w:sz w:val="28"/>
          <w:szCs w:val="28"/>
        </w:rPr>
        <w:t xml:space="preserve"> [7]</w:t>
      </w:r>
      <w:r w:rsidRPr="00962572">
        <w:rPr>
          <w:rFonts w:ascii="Times New Roman" w:hAnsi="Times New Roman" w:cs="Times New Roman"/>
          <w:color w:val="000000"/>
          <w:sz w:val="28"/>
          <w:szCs w:val="28"/>
        </w:rPr>
        <w:t>, предусматривает ответственность за нарушения публичного порядка в зависимости от конкретного места совершения и наступивших последствий. Статья 290 устанавливает ответственность зачинщикам «массовых общественных беспорядков, приведших к невозможности нормального осуществления рабочей, производственной, хозяйственной, преподавательской и научно-исследовательской деятельности и явившихся причиной значительных убытков», а также зачинщикам «нападения на государственный орган, приведшего к невозможности осуществления нормального функционирования государственного органа и причинившего значительный ущерб».</w:t>
      </w:r>
    </w:p>
    <w:p w14:paraId="2443D418" w14:textId="77777777" w:rsidR="00962572" w:rsidRPr="00962572" w:rsidRDefault="00962572" w:rsidP="00962572">
      <w:pPr>
        <w:shd w:val="clear" w:color="auto" w:fill="FFFFFF"/>
        <w:spacing w:after="0" w:line="360" w:lineRule="auto"/>
        <w:ind w:firstLine="709"/>
        <w:jc w:val="both"/>
        <w:rPr>
          <w:rFonts w:ascii="Times New Roman" w:hAnsi="Times New Roman" w:cs="Times New Roman"/>
          <w:color w:val="000000"/>
          <w:sz w:val="28"/>
          <w:szCs w:val="28"/>
        </w:rPr>
      </w:pPr>
      <w:r w:rsidRPr="00962572">
        <w:rPr>
          <w:rFonts w:ascii="Times New Roman" w:hAnsi="Times New Roman" w:cs="Times New Roman"/>
          <w:color w:val="000000"/>
          <w:sz w:val="28"/>
          <w:szCs w:val="28"/>
        </w:rPr>
        <w:t xml:space="preserve">В ст. 291 установлена ответственность зачинщикам «массовых беспорядков на транспортных станциях, причалах, в аэропортах гражданской авиации, на рынках, в парках, кинотеатрах, на выставках и стадионах или в </w:t>
      </w:r>
      <w:r w:rsidRPr="00962572">
        <w:rPr>
          <w:rFonts w:ascii="Times New Roman" w:hAnsi="Times New Roman" w:cs="Times New Roman"/>
          <w:color w:val="000000"/>
          <w:sz w:val="28"/>
          <w:szCs w:val="28"/>
        </w:rPr>
        <w:lastRenderedPageBreak/>
        <w:t>других общественных местах, зачинщикам массового блокирования транспортного сообщения или дезорганизации транспортного сообщения, противодействия или воспрепятствования работникам государственных органов, осуществляющих контроль за общественным порядком».</w:t>
      </w:r>
    </w:p>
    <w:p w14:paraId="592C5849" w14:textId="77777777" w:rsidR="00962572" w:rsidRPr="00962572" w:rsidRDefault="00962572" w:rsidP="00962572">
      <w:pPr>
        <w:shd w:val="clear" w:color="auto" w:fill="FFFFFF"/>
        <w:spacing w:after="0" w:line="360" w:lineRule="auto"/>
        <w:ind w:firstLine="709"/>
        <w:jc w:val="both"/>
        <w:rPr>
          <w:rFonts w:ascii="Times New Roman" w:hAnsi="Times New Roman" w:cs="Times New Roman"/>
          <w:color w:val="000000"/>
          <w:sz w:val="28"/>
          <w:szCs w:val="28"/>
        </w:rPr>
      </w:pPr>
      <w:r w:rsidRPr="00962572">
        <w:rPr>
          <w:rFonts w:ascii="Times New Roman" w:hAnsi="Times New Roman" w:cs="Times New Roman"/>
          <w:color w:val="000000"/>
          <w:sz w:val="28"/>
          <w:szCs w:val="28"/>
        </w:rPr>
        <w:t>В статье 292 ответственность наступает за массовые драки, а согласно ст. 293 за «совершение нижеследующих провокационных, инициирующих ссору действий, нарушающих общественный порядок: умышленное избиение третьего лица при отягчающих обстоятельствах; нецензурная брань в адрес третьего лица при отягчающих обстоятельствах; шумное поведение в общественном месте, серьезно нарушающее общественный порядок».</w:t>
      </w:r>
    </w:p>
    <w:p w14:paraId="1543D1DF" w14:textId="75594292" w:rsidR="00962572" w:rsidRPr="00962572" w:rsidRDefault="00962572" w:rsidP="00962572">
      <w:pPr>
        <w:shd w:val="clear" w:color="auto" w:fill="FFFFFF"/>
        <w:spacing w:after="0" w:line="360" w:lineRule="auto"/>
        <w:ind w:firstLine="709"/>
        <w:jc w:val="both"/>
        <w:rPr>
          <w:rFonts w:ascii="Times New Roman" w:hAnsi="Times New Roman" w:cs="Times New Roman"/>
          <w:color w:val="000000"/>
          <w:sz w:val="28"/>
          <w:szCs w:val="28"/>
        </w:rPr>
      </w:pPr>
      <w:r w:rsidRPr="00962572">
        <w:rPr>
          <w:rFonts w:ascii="Times New Roman" w:hAnsi="Times New Roman" w:cs="Times New Roman"/>
          <w:color w:val="000000"/>
          <w:sz w:val="28"/>
          <w:szCs w:val="28"/>
        </w:rPr>
        <w:t>Стоит отметить, что из стран дальнего зарубежья лишь в УК Болгарии предусмотрены такие признаки в отношении преступления «хулиганской» направленности, которые характерны для определения хулиганства по УК РФ. Статья 325 главы 10 УК Болгарии «Преступления против порядка и общественного спокойствия» предусматривает ответственность за совершение непристойных действий, грубо нарушающих общественный порядок и выражающих явное неуважение к обществу</w:t>
      </w:r>
      <w:r w:rsidR="00342238" w:rsidRPr="00342238">
        <w:rPr>
          <w:rFonts w:ascii="Times New Roman" w:hAnsi="Times New Roman" w:cs="Times New Roman"/>
          <w:color w:val="000000"/>
          <w:sz w:val="28"/>
          <w:szCs w:val="28"/>
        </w:rPr>
        <w:t xml:space="preserve"> [8]</w:t>
      </w:r>
      <w:r w:rsidRPr="00962572">
        <w:rPr>
          <w:rFonts w:ascii="Times New Roman" w:hAnsi="Times New Roman" w:cs="Times New Roman"/>
          <w:color w:val="000000"/>
          <w:sz w:val="28"/>
          <w:szCs w:val="28"/>
        </w:rPr>
        <w:t>. Квалифицированными видами такого деяния является его связь с сопротивлением представителю власти или представителю общественности, исполняющим обязанности по охране общественного порядка, а также, в случае если такие действия отличаются исключительным цинизмом или дерзостью. В такой конструкции признаки деяния дают основания правоприменителю квалифицировать как уголовно наказуемое деяние любые, даже невинные жесты.</w:t>
      </w:r>
    </w:p>
    <w:p w14:paraId="65D71A52" w14:textId="77777777" w:rsidR="00962572" w:rsidRPr="00962572" w:rsidRDefault="00962572" w:rsidP="00962572">
      <w:pPr>
        <w:shd w:val="clear" w:color="auto" w:fill="FFFFFF"/>
        <w:spacing w:after="0" w:line="360" w:lineRule="auto"/>
        <w:ind w:firstLine="709"/>
        <w:jc w:val="both"/>
        <w:rPr>
          <w:rFonts w:ascii="Times New Roman" w:hAnsi="Times New Roman" w:cs="Times New Roman"/>
          <w:color w:val="000000"/>
          <w:sz w:val="28"/>
          <w:szCs w:val="28"/>
        </w:rPr>
      </w:pPr>
      <w:r w:rsidRPr="00962572">
        <w:rPr>
          <w:rFonts w:ascii="Times New Roman" w:hAnsi="Times New Roman" w:cs="Times New Roman"/>
          <w:color w:val="000000"/>
          <w:sz w:val="28"/>
          <w:szCs w:val="28"/>
        </w:rPr>
        <w:t>Таким образом, анализ зарубежного законодательства позволяет сделать следующие выводы.</w:t>
      </w:r>
    </w:p>
    <w:p w14:paraId="0819B27B" w14:textId="77777777" w:rsidR="00962572" w:rsidRPr="00962572" w:rsidRDefault="00962572" w:rsidP="00962572">
      <w:pPr>
        <w:shd w:val="clear" w:color="auto" w:fill="FFFFFF"/>
        <w:spacing w:after="0" w:line="360" w:lineRule="auto"/>
        <w:ind w:firstLine="709"/>
        <w:jc w:val="both"/>
        <w:rPr>
          <w:rFonts w:ascii="Times New Roman" w:hAnsi="Times New Roman" w:cs="Times New Roman"/>
          <w:color w:val="000000"/>
          <w:sz w:val="28"/>
          <w:szCs w:val="28"/>
        </w:rPr>
      </w:pPr>
      <w:r w:rsidRPr="00962572">
        <w:rPr>
          <w:rFonts w:ascii="Times New Roman" w:hAnsi="Times New Roman" w:cs="Times New Roman"/>
          <w:color w:val="000000"/>
          <w:sz w:val="28"/>
          <w:szCs w:val="28"/>
        </w:rPr>
        <w:t xml:space="preserve">1. Понятие «хулиганство» как уголовно наказуемое деяние закреплено в настоящее время практически во всех УК ближнего зарубежья. Причем законодатель этих стран использует те же признаки преступления, </w:t>
      </w:r>
      <w:r w:rsidRPr="00962572">
        <w:rPr>
          <w:rFonts w:ascii="Times New Roman" w:hAnsi="Times New Roman" w:cs="Times New Roman"/>
          <w:color w:val="000000"/>
          <w:sz w:val="28"/>
          <w:szCs w:val="28"/>
        </w:rPr>
        <w:lastRenderedPageBreak/>
        <w:t>позволяющие расширять полномочия правоприменителя по усмотрению, которые характерны и для российского уголовного закона.</w:t>
      </w:r>
    </w:p>
    <w:p w14:paraId="5CE0C15E" w14:textId="77777777" w:rsidR="00962572" w:rsidRPr="00962572" w:rsidRDefault="00962572" w:rsidP="00962572">
      <w:pPr>
        <w:shd w:val="clear" w:color="auto" w:fill="FFFFFF"/>
        <w:spacing w:after="0" w:line="360" w:lineRule="auto"/>
        <w:ind w:firstLine="709"/>
        <w:jc w:val="both"/>
        <w:rPr>
          <w:rFonts w:ascii="Times New Roman" w:hAnsi="Times New Roman" w:cs="Times New Roman"/>
          <w:color w:val="000000"/>
          <w:sz w:val="28"/>
          <w:szCs w:val="28"/>
        </w:rPr>
      </w:pPr>
      <w:r w:rsidRPr="00962572">
        <w:rPr>
          <w:rFonts w:ascii="Times New Roman" w:hAnsi="Times New Roman" w:cs="Times New Roman"/>
          <w:color w:val="000000"/>
          <w:sz w:val="28"/>
          <w:szCs w:val="28"/>
        </w:rPr>
        <w:t>2. Законодательство стран дальнего зарубежья термин «хулиганство» вообще не использует. Законодатель этих стран конструирует соответствующие нормы с помощью достаточно четких и определенных критериев, указывающих на конкретное место совершения преступления, конкретное целеполагание, ущерб, причиняемый в результате совершения деяния, конкретные средства или методы его совершения. Благодаря такой конструкции, возможности правоприменителя по усмотрению значительно сужаются, что является гарантией справедливой квалификации. Кроме того, благодаря достаточно четким критериям преступлений, которые в российском УК квалифицируются как хулиганство, весьма просто разграничить такие деяния от иных преступлений против жизни, здоровья, имущества. Думается, что опыт законодателя стран дальнего зарубежья окажется полезным для разработки варианта ответственности за преступление, которое российский законодатель именует как хулиганство.</w:t>
      </w:r>
    </w:p>
    <w:p w14:paraId="114DA915" w14:textId="6B5C44B2" w:rsidR="00962572" w:rsidRPr="00962572" w:rsidRDefault="00962572" w:rsidP="00962572">
      <w:pPr>
        <w:shd w:val="clear" w:color="auto" w:fill="FFFFFF"/>
        <w:spacing w:after="0" w:line="360" w:lineRule="auto"/>
        <w:ind w:firstLine="709"/>
        <w:jc w:val="both"/>
        <w:rPr>
          <w:rFonts w:ascii="Times New Roman" w:hAnsi="Times New Roman" w:cs="Times New Roman"/>
          <w:color w:val="000000"/>
          <w:sz w:val="28"/>
          <w:szCs w:val="28"/>
        </w:rPr>
      </w:pPr>
    </w:p>
    <w:p w14:paraId="4DC45819" w14:textId="4B2A538D" w:rsidR="00962572" w:rsidRPr="00962572" w:rsidRDefault="00962572" w:rsidP="00342238">
      <w:pPr>
        <w:shd w:val="clear" w:color="auto" w:fill="FFFFFF"/>
        <w:spacing w:after="0" w:line="360" w:lineRule="auto"/>
        <w:ind w:firstLine="709"/>
        <w:jc w:val="center"/>
        <w:rPr>
          <w:rFonts w:ascii="Times New Roman" w:hAnsi="Times New Roman" w:cs="Times New Roman"/>
          <w:color w:val="000000"/>
          <w:sz w:val="28"/>
          <w:szCs w:val="28"/>
        </w:rPr>
      </w:pPr>
      <w:r w:rsidRPr="00962572">
        <w:rPr>
          <w:rFonts w:ascii="Times New Roman" w:hAnsi="Times New Roman" w:cs="Times New Roman"/>
          <w:color w:val="000000"/>
          <w:sz w:val="28"/>
          <w:szCs w:val="28"/>
        </w:rPr>
        <w:t>Список литературы</w:t>
      </w:r>
    </w:p>
    <w:p w14:paraId="32D529DB" w14:textId="49855BD2" w:rsidR="00962572" w:rsidRPr="00962572" w:rsidRDefault="00962572" w:rsidP="00962572">
      <w:pPr>
        <w:shd w:val="clear" w:color="auto" w:fill="FFFFFF"/>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 </w:t>
      </w:r>
      <w:r w:rsidRPr="00962572">
        <w:rPr>
          <w:rFonts w:ascii="Times New Roman" w:hAnsi="Times New Roman" w:cs="Times New Roman"/>
          <w:color w:val="000000"/>
          <w:sz w:val="28"/>
          <w:szCs w:val="28"/>
        </w:rPr>
        <w:t>Уголовный кодекс Украины. Принят Верховной Радой Украины 5 апреля 2001 года № 2341-III; вступил в силу с 1 сентября 2001 года // http://www.law.edu.ru/norm/norm.asp?normID=1243122 (дата обращения: 24.10.2021).</w:t>
      </w:r>
    </w:p>
    <w:p w14:paraId="36B382FD" w14:textId="3866583B" w:rsidR="00962572" w:rsidRPr="00962572" w:rsidRDefault="00962572" w:rsidP="00962572">
      <w:pPr>
        <w:shd w:val="clear" w:color="auto" w:fill="FFFFFF"/>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2. </w:t>
      </w:r>
      <w:r w:rsidRPr="00962572">
        <w:rPr>
          <w:rFonts w:ascii="Times New Roman" w:hAnsi="Times New Roman" w:cs="Times New Roman"/>
          <w:color w:val="000000"/>
          <w:sz w:val="28"/>
          <w:szCs w:val="28"/>
        </w:rPr>
        <w:t>Уголовный кодекс Республики Беларусь. URL: http://www.newsby.org/by/2009/11/17/text11492.htm (дата обращения: 21.10.2021).</w:t>
      </w:r>
    </w:p>
    <w:p w14:paraId="1FB4E1E1" w14:textId="08C2F380" w:rsidR="00962572" w:rsidRPr="00962572" w:rsidRDefault="00962572" w:rsidP="00962572">
      <w:pPr>
        <w:shd w:val="clear" w:color="auto" w:fill="FFFFFF"/>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3. </w:t>
      </w:r>
      <w:r w:rsidRPr="00962572">
        <w:rPr>
          <w:rFonts w:ascii="Times New Roman" w:hAnsi="Times New Roman" w:cs="Times New Roman"/>
          <w:color w:val="000000"/>
          <w:sz w:val="28"/>
          <w:szCs w:val="28"/>
        </w:rPr>
        <w:t>Уголовный кодекс Республики Казахстан. URL: http://online.zakon.kz/m/document/?doc_id=31575252 (дата обращения: 20.10.2021).</w:t>
      </w:r>
    </w:p>
    <w:p w14:paraId="794A3087" w14:textId="4FEA6989" w:rsidR="00962572" w:rsidRPr="00962572" w:rsidRDefault="00962572" w:rsidP="00962572">
      <w:pPr>
        <w:shd w:val="clear" w:color="auto" w:fill="FFFFFF"/>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xml:space="preserve">4. </w:t>
      </w:r>
      <w:r w:rsidRPr="00962572">
        <w:rPr>
          <w:rFonts w:ascii="Times New Roman" w:hAnsi="Times New Roman" w:cs="Times New Roman"/>
          <w:color w:val="000000"/>
          <w:sz w:val="28"/>
          <w:szCs w:val="28"/>
        </w:rPr>
        <w:t>Уголовный кодекс Республики Армения от 29 апреля 2003 года №ЗР-528. URL: http://base.spinform.ru/show_doc.fwx?rgn=7472 (дата обращения: 20.10.2021).</w:t>
      </w:r>
    </w:p>
    <w:p w14:paraId="2E34A94C" w14:textId="36EAAA40" w:rsidR="00962572" w:rsidRPr="00962572" w:rsidRDefault="00962572" w:rsidP="00962572">
      <w:pPr>
        <w:shd w:val="clear" w:color="auto" w:fill="FFFFFF"/>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5. </w:t>
      </w:r>
      <w:r w:rsidRPr="00962572">
        <w:rPr>
          <w:rFonts w:ascii="Times New Roman" w:hAnsi="Times New Roman" w:cs="Times New Roman"/>
          <w:color w:val="000000"/>
          <w:sz w:val="28"/>
          <w:szCs w:val="28"/>
        </w:rPr>
        <w:t>Уголовный кодекс Испании [Электронный ресурс]. Режим доступа: http://crimpravo.ru/codecs/spain/2.doc (дата обращения: 25.10.2021).</w:t>
      </w:r>
    </w:p>
    <w:p w14:paraId="354FA4FF" w14:textId="71DD772D" w:rsidR="00962572" w:rsidRPr="00962572" w:rsidRDefault="00962572" w:rsidP="00962572">
      <w:pPr>
        <w:shd w:val="clear" w:color="auto" w:fill="FFFFFF"/>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6. </w:t>
      </w:r>
      <w:r w:rsidRPr="00962572">
        <w:rPr>
          <w:rFonts w:ascii="Times New Roman" w:hAnsi="Times New Roman" w:cs="Times New Roman"/>
          <w:color w:val="000000"/>
          <w:sz w:val="28"/>
          <w:szCs w:val="28"/>
        </w:rPr>
        <w:t xml:space="preserve">Уголовный кодекс Японии. Владивосток, 2000; </w:t>
      </w:r>
      <w:hyperlink r:id="rId6" w:history="1">
        <w:r w:rsidRPr="00962572">
          <w:rPr>
            <w:color w:val="000000"/>
            <w:sz w:val="28"/>
            <w:szCs w:val="28"/>
          </w:rPr>
          <w:t>http://constitutions.ru/?p=407</w:t>
        </w:r>
      </w:hyperlink>
      <w:r w:rsidRPr="00962572">
        <w:rPr>
          <w:rFonts w:ascii="Times New Roman" w:hAnsi="Times New Roman" w:cs="Times New Roman"/>
          <w:color w:val="000000"/>
          <w:sz w:val="28"/>
          <w:szCs w:val="28"/>
        </w:rPr>
        <w:t xml:space="preserve">  (дата обращения: 24.10.2021).</w:t>
      </w:r>
    </w:p>
    <w:p w14:paraId="4B79A30D" w14:textId="410CD120" w:rsidR="00962572" w:rsidRPr="00962572" w:rsidRDefault="00962572" w:rsidP="00962572">
      <w:pPr>
        <w:shd w:val="clear" w:color="auto" w:fill="FFFFFF"/>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7. </w:t>
      </w:r>
      <w:r w:rsidRPr="00962572">
        <w:rPr>
          <w:rFonts w:ascii="Times New Roman" w:hAnsi="Times New Roman" w:cs="Times New Roman"/>
          <w:color w:val="000000"/>
          <w:sz w:val="28"/>
          <w:szCs w:val="28"/>
        </w:rPr>
        <w:t>Уголовный кодекс Китайской Народной Республики. Владивосток, 1999; http://www.asia-business.ru/law/law1/criminalcode/code/#2 (дата обращения: 24.10.2021).</w:t>
      </w:r>
    </w:p>
    <w:p w14:paraId="14711074" w14:textId="23DFBAD2" w:rsidR="00962572" w:rsidRPr="00962572" w:rsidRDefault="00962572" w:rsidP="00962572">
      <w:pPr>
        <w:shd w:val="clear" w:color="auto" w:fill="FFFFFF"/>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8. </w:t>
      </w:r>
      <w:r w:rsidRPr="00962572">
        <w:rPr>
          <w:rFonts w:ascii="Times New Roman" w:hAnsi="Times New Roman" w:cs="Times New Roman"/>
          <w:color w:val="000000"/>
          <w:sz w:val="28"/>
          <w:szCs w:val="28"/>
        </w:rPr>
        <w:t>Уголовный кодекс Республики Болгария. СПб., 2001. – 262 с.</w:t>
      </w:r>
    </w:p>
    <w:p w14:paraId="31D4267C" w14:textId="77777777" w:rsidR="00962572" w:rsidRPr="00962572" w:rsidRDefault="00962572" w:rsidP="00962572">
      <w:pPr>
        <w:shd w:val="clear" w:color="auto" w:fill="FFFFFF"/>
        <w:spacing w:after="0" w:line="360" w:lineRule="auto"/>
        <w:ind w:firstLine="709"/>
        <w:jc w:val="both"/>
        <w:rPr>
          <w:rFonts w:ascii="Times New Roman" w:hAnsi="Times New Roman" w:cs="Times New Roman"/>
          <w:color w:val="000000"/>
          <w:sz w:val="28"/>
          <w:szCs w:val="28"/>
        </w:rPr>
      </w:pPr>
    </w:p>
    <w:sectPr w:rsidR="00962572" w:rsidRPr="0096257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FED7CC" w14:textId="77777777" w:rsidR="001A37A7" w:rsidRDefault="001A37A7" w:rsidP="00962572">
      <w:pPr>
        <w:spacing w:after="0" w:line="240" w:lineRule="auto"/>
      </w:pPr>
      <w:r>
        <w:separator/>
      </w:r>
    </w:p>
  </w:endnote>
  <w:endnote w:type="continuationSeparator" w:id="0">
    <w:p w14:paraId="5CA323E3" w14:textId="77777777" w:rsidR="001A37A7" w:rsidRDefault="001A37A7" w:rsidP="009625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E7651E" w14:textId="77777777" w:rsidR="001A37A7" w:rsidRDefault="001A37A7" w:rsidP="00962572">
      <w:pPr>
        <w:spacing w:after="0" w:line="240" w:lineRule="auto"/>
      </w:pPr>
      <w:r>
        <w:separator/>
      </w:r>
    </w:p>
  </w:footnote>
  <w:footnote w:type="continuationSeparator" w:id="0">
    <w:p w14:paraId="2A161139" w14:textId="77777777" w:rsidR="001A37A7" w:rsidRDefault="001A37A7" w:rsidP="0096257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841"/>
    <w:rsid w:val="001A37A7"/>
    <w:rsid w:val="00342238"/>
    <w:rsid w:val="00962572"/>
    <w:rsid w:val="00A71B49"/>
    <w:rsid w:val="00A96C8F"/>
    <w:rsid w:val="00B108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FC650"/>
  <w15:chartTrackingRefBased/>
  <w15:docId w15:val="{59E6DD67-1160-48BC-83F4-74E328050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62572"/>
  </w:style>
  <w:style w:type="paragraph" w:styleId="3">
    <w:name w:val="heading 3"/>
    <w:basedOn w:val="a"/>
    <w:next w:val="a"/>
    <w:link w:val="30"/>
    <w:uiPriority w:val="9"/>
    <w:unhideWhenUsed/>
    <w:qFormat/>
    <w:rsid w:val="0096257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9">
    <w:name w:val="heading 9"/>
    <w:basedOn w:val="a"/>
    <w:next w:val="a"/>
    <w:link w:val="90"/>
    <w:uiPriority w:val="9"/>
    <w:semiHidden/>
    <w:unhideWhenUsed/>
    <w:qFormat/>
    <w:rsid w:val="00A96C8F"/>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аголовок даша"/>
    <w:basedOn w:val="9"/>
    <w:link w:val="a4"/>
    <w:qFormat/>
    <w:rsid w:val="00A96C8F"/>
    <w:pPr>
      <w:spacing w:line="276" w:lineRule="auto"/>
      <w:jc w:val="center"/>
    </w:pPr>
    <w:rPr>
      <w:rFonts w:ascii="Times New Roman" w:hAnsi="Times New Roman"/>
      <w:b/>
      <w:i w:val="0"/>
      <w:sz w:val="28"/>
    </w:rPr>
  </w:style>
  <w:style w:type="character" w:customStyle="1" w:styleId="a4">
    <w:name w:val="Заголовок даша Знак"/>
    <w:basedOn w:val="90"/>
    <w:link w:val="a3"/>
    <w:rsid w:val="00A96C8F"/>
    <w:rPr>
      <w:rFonts w:ascii="Times New Roman" w:eastAsiaTheme="majorEastAsia" w:hAnsi="Times New Roman" w:cstheme="majorBidi"/>
      <w:b/>
      <w:i w:val="0"/>
      <w:iCs/>
      <w:color w:val="272727" w:themeColor="text1" w:themeTint="D8"/>
      <w:sz w:val="28"/>
      <w:szCs w:val="21"/>
    </w:rPr>
  </w:style>
  <w:style w:type="character" w:customStyle="1" w:styleId="90">
    <w:name w:val="Заголовок 9 Знак"/>
    <w:basedOn w:val="a0"/>
    <w:link w:val="9"/>
    <w:uiPriority w:val="9"/>
    <w:semiHidden/>
    <w:rsid w:val="00A96C8F"/>
    <w:rPr>
      <w:rFonts w:asciiTheme="majorHAnsi" w:eastAsiaTheme="majorEastAsia" w:hAnsiTheme="majorHAnsi" w:cstheme="majorBidi"/>
      <w:i/>
      <w:iCs/>
      <w:color w:val="272727" w:themeColor="text1" w:themeTint="D8"/>
      <w:sz w:val="21"/>
      <w:szCs w:val="21"/>
    </w:rPr>
  </w:style>
  <w:style w:type="character" w:customStyle="1" w:styleId="30">
    <w:name w:val="Заголовок 3 Знак"/>
    <w:basedOn w:val="a0"/>
    <w:link w:val="3"/>
    <w:uiPriority w:val="9"/>
    <w:rsid w:val="00962572"/>
    <w:rPr>
      <w:rFonts w:asciiTheme="majorHAnsi" w:eastAsiaTheme="majorEastAsia" w:hAnsiTheme="majorHAnsi" w:cstheme="majorBidi"/>
      <w:color w:val="1F3763" w:themeColor="accent1" w:themeShade="7F"/>
      <w:sz w:val="24"/>
      <w:szCs w:val="24"/>
    </w:rPr>
  </w:style>
  <w:style w:type="paragraph" w:styleId="a5">
    <w:name w:val="footnote text"/>
    <w:aliases w:val="Текст сноски Знак1 Знак,Текст сноски Знак Знак Знак,Текст сноски Знак Знак1 Знак Знак Знак,Текст сноски Знак Знак,Текст сноски Знак Знак Знак Знак Знак Знак Знак Знак Знак,Текст сноски Знак Знак Знак Знак Знак Знак Знак,Знак,Char Знак,f,З"/>
    <w:basedOn w:val="a"/>
    <w:link w:val="a6"/>
    <w:uiPriority w:val="99"/>
    <w:unhideWhenUsed/>
    <w:rsid w:val="00962572"/>
    <w:pPr>
      <w:spacing w:after="0" w:line="240" w:lineRule="auto"/>
    </w:pPr>
    <w:rPr>
      <w:rFonts w:ascii="Calibri" w:eastAsia="Calibri" w:hAnsi="Calibri" w:cs="Times New Roman"/>
      <w:sz w:val="20"/>
      <w:szCs w:val="20"/>
    </w:rPr>
  </w:style>
  <w:style w:type="character" w:customStyle="1" w:styleId="a6">
    <w:name w:val="Текст сноски Знак"/>
    <w:aliases w:val="Текст сноски Знак1 Знак Знак,Текст сноски Знак Знак Знак Знак,Текст сноски Знак Знак1 Знак Знак Знак Знак,Текст сноски Знак Знак Знак1,Текст сноски Знак Знак Знак Знак Знак Знак Знак Знак Знак Знак,Знак Знак,Char Знак Знак,f Знак"/>
    <w:basedOn w:val="a0"/>
    <w:link w:val="a5"/>
    <w:uiPriority w:val="99"/>
    <w:rsid w:val="00962572"/>
    <w:rPr>
      <w:rFonts w:ascii="Calibri" w:eastAsia="Calibri" w:hAnsi="Calibri" w:cs="Times New Roman"/>
      <w:sz w:val="20"/>
      <w:szCs w:val="20"/>
    </w:rPr>
  </w:style>
  <w:style w:type="character" w:styleId="a7">
    <w:name w:val="footnote reference"/>
    <w:aliases w:val="FZ,Знак сноски-FN,Ciae niinee-FN,Footnotes refss,Текст сновски,Ciae niinee I,Знак сноски Н,fr,Appel note de bas de page,Знак сноски 1,Ref,de nota al pie"/>
    <w:uiPriority w:val="99"/>
    <w:unhideWhenUsed/>
    <w:rsid w:val="00962572"/>
    <w:rPr>
      <w:vertAlign w:val="superscript"/>
    </w:rPr>
  </w:style>
  <w:style w:type="character" w:customStyle="1" w:styleId="Bodytext4">
    <w:name w:val="Body text (4)_"/>
    <w:link w:val="Bodytext40"/>
    <w:semiHidden/>
    <w:locked/>
    <w:rsid w:val="00962572"/>
    <w:rPr>
      <w:rFonts w:ascii="Times New Roman" w:eastAsia="Times New Roman" w:hAnsi="Times New Roman"/>
      <w:sz w:val="21"/>
      <w:szCs w:val="21"/>
      <w:shd w:val="clear" w:color="auto" w:fill="FFFFFF"/>
      <w:lang w:val="en-US"/>
    </w:rPr>
  </w:style>
  <w:style w:type="paragraph" w:customStyle="1" w:styleId="Bodytext40">
    <w:name w:val="Body text (4)"/>
    <w:basedOn w:val="a"/>
    <w:link w:val="Bodytext4"/>
    <w:semiHidden/>
    <w:rsid w:val="00962572"/>
    <w:pPr>
      <w:shd w:val="clear" w:color="auto" w:fill="FFFFFF"/>
      <w:spacing w:before="300" w:after="60" w:line="259" w:lineRule="exact"/>
      <w:ind w:firstLine="700"/>
      <w:jc w:val="both"/>
    </w:pPr>
    <w:rPr>
      <w:rFonts w:ascii="Times New Roman" w:eastAsia="Times New Roman" w:hAnsi="Times New Roman"/>
      <w:sz w:val="21"/>
      <w:szCs w:val="21"/>
      <w:lang w:val="en-US"/>
    </w:rPr>
  </w:style>
  <w:style w:type="character" w:styleId="a8">
    <w:name w:val="Hyperlink"/>
    <w:uiPriority w:val="99"/>
    <w:unhideWhenUsed/>
    <w:rsid w:val="00962572"/>
    <w:rPr>
      <w:color w:val="0563C1"/>
      <w:u w:val="single"/>
    </w:rPr>
  </w:style>
  <w:style w:type="character" w:customStyle="1" w:styleId="Bodytext">
    <w:name w:val="Body text_"/>
    <w:link w:val="1"/>
    <w:semiHidden/>
    <w:locked/>
    <w:rsid w:val="00962572"/>
    <w:rPr>
      <w:rFonts w:ascii="Times New Roman" w:eastAsia="Times New Roman" w:hAnsi="Times New Roman"/>
      <w:sz w:val="18"/>
      <w:szCs w:val="18"/>
      <w:shd w:val="clear" w:color="auto" w:fill="FFFFFF"/>
    </w:rPr>
  </w:style>
  <w:style w:type="paragraph" w:customStyle="1" w:styleId="1">
    <w:name w:val="Основной текст1"/>
    <w:basedOn w:val="a"/>
    <w:link w:val="Bodytext"/>
    <w:semiHidden/>
    <w:rsid w:val="00962572"/>
    <w:pPr>
      <w:shd w:val="clear" w:color="auto" w:fill="FFFFFF"/>
      <w:spacing w:after="0" w:line="0" w:lineRule="atLeast"/>
    </w:pPr>
    <w:rPr>
      <w:rFonts w:ascii="Times New Roman" w:eastAsia="Times New Roman" w:hAnsi="Times New Roman"/>
      <w:sz w:val="18"/>
      <w:szCs w:val="18"/>
    </w:rPr>
  </w:style>
  <w:style w:type="paragraph" w:styleId="a9">
    <w:name w:val="Normal (Web)"/>
    <w:basedOn w:val="a"/>
    <w:uiPriority w:val="99"/>
    <w:semiHidden/>
    <w:unhideWhenUsed/>
    <w:rsid w:val="00962572"/>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constitutions.ru/?p=407"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1447</Words>
  <Characters>8251</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Дарья Мурычева</dc:creator>
  <cp:keywords/>
  <dc:description/>
  <cp:lastModifiedBy>Дарья Мурычева</cp:lastModifiedBy>
  <cp:revision>2</cp:revision>
  <dcterms:created xsi:type="dcterms:W3CDTF">2021-11-19T19:27:00Z</dcterms:created>
  <dcterms:modified xsi:type="dcterms:W3CDTF">2021-11-19T19:34:00Z</dcterms:modified>
</cp:coreProperties>
</file>