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C8" w:rsidRPr="00E337C8" w:rsidRDefault="00E337C8" w:rsidP="00E337C8">
      <w:pPr>
        <w:autoSpaceDE w:val="0"/>
        <w:autoSpaceDN w:val="0"/>
        <w:adjustRightInd w:val="0"/>
        <w:spacing w:after="0" w:line="360" w:lineRule="auto"/>
        <w:ind w:firstLine="709"/>
        <w:jc w:val="center"/>
        <w:rPr>
          <w:rFonts w:ascii="Times New Roman" w:hAnsi="Times New Roman" w:cs="Times New Roman"/>
          <w:b/>
          <w:sz w:val="28"/>
          <w:szCs w:val="28"/>
        </w:rPr>
      </w:pPr>
      <w:bookmarkStart w:id="0" w:name="_GoBack"/>
      <w:bookmarkEnd w:id="0"/>
      <w:r w:rsidRPr="00E337C8">
        <w:rPr>
          <w:rFonts w:ascii="Times New Roman" w:hAnsi="Times New Roman" w:cs="Times New Roman"/>
          <w:b/>
          <w:sz w:val="28"/>
          <w:szCs w:val="28"/>
        </w:rPr>
        <w:t>ПОНЯТИЕ И ПРИЗНАКИ ДОГОВОРА ЗАЙМА</w:t>
      </w:r>
    </w:p>
    <w:p w:rsidR="00E337C8" w:rsidRDefault="00E337C8" w:rsidP="00E337C8">
      <w:pPr>
        <w:autoSpaceDE w:val="0"/>
        <w:autoSpaceDN w:val="0"/>
        <w:adjustRightInd w:val="0"/>
        <w:spacing w:after="0" w:line="360" w:lineRule="auto"/>
        <w:ind w:firstLine="709"/>
        <w:jc w:val="both"/>
        <w:rPr>
          <w:rFonts w:ascii="Times New Roman" w:hAnsi="Times New Roman" w:cs="Times New Roman"/>
          <w:sz w:val="28"/>
          <w:szCs w:val="28"/>
        </w:rPr>
      </w:pPr>
    </w:p>
    <w:p w:rsidR="00E337C8" w:rsidRPr="00925176" w:rsidRDefault="00E337C8" w:rsidP="00E337C8">
      <w:pPr>
        <w:autoSpaceDE w:val="0"/>
        <w:autoSpaceDN w:val="0"/>
        <w:adjustRightInd w:val="0"/>
        <w:spacing w:after="0" w:line="360" w:lineRule="auto"/>
        <w:ind w:firstLine="709"/>
        <w:jc w:val="both"/>
        <w:rPr>
          <w:rFonts w:ascii="Times New Roman" w:hAnsi="Times New Roman" w:cs="Times New Roman"/>
          <w:sz w:val="28"/>
          <w:szCs w:val="28"/>
        </w:rPr>
      </w:pPr>
      <w:r w:rsidRPr="00925176">
        <w:rPr>
          <w:rFonts w:ascii="Times New Roman" w:hAnsi="Times New Roman" w:cs="Times New Roman"/>
          <w:sz w:val="28"/>
          <w:szCs w:val="28"/>
        </w:rPr>
        <w:t>Согласно статье 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[1].</w:t>
      </w:r>
    </w:p>
    <w:p w:rsidR="00E337C8" w:rsidRPr="00925176" w:rsidRDefault="00E337C8" w:rsidP="00E337C8">
      <w:pPr>
        <w:autoSpaceDE w:val="0"/>
        <w:autoSpaceDN w:val="0"/>
        <w:adjustRightInd w:val="0"/>
        <w:spacing w:after="0" w:line="360" w:lineRule="auto"/>
        <w:ind w:firstLine="709"/>
        <w:jc w:val="both"/>
        <w:rPr>
          <w:rStyle w:val="blk"/>
        </w:rPr>
      </w:pPr>
      <w:r w:rsidRPr="00925176">
        <w:rPr>
          <w:rFonts w:ascii="Times New Roman" w:hAnsi="Times New Roman" w:cs="Times New Roman"/>
          <w:sz w:val="28"/>
          <w:szCs w:val="28"/>
        </w:rPr>
        <w:t xml:space="preserve">Следует заметить, что в соответствие с положениями закона № 212-ФЗ, </w:t>
      </w:r>
      <w:r w:rsidRPr="00925176">
        <w:rPr>
          <w:rStyle w:val="blk"/>
          <w:sz w:val="28"/>
          <w:szCs w:val="28"/>
        </w:rPr>
        <w:t xml:space="preserve">изучаемая договорная конструкция теперь может быть сконструирована, по мысли законодателя, не только как реальный, но и как консенсуальный договор, о чем говорит используемая формулировка: «…обязуется передать», наряду с существовавшей формулировкой «передает». </w:t>
      </w:r>
    </w:p>
    <w:p w:rsidR="00E337C8" w:rsidRPr="00925176" w:rsidRDefault="00E337C8" w:rsidP="00E337C8">
      <w:pPr>
        <w:autoSpaceDE w:val="0"/>
        <w:autoSpaceDN w:val="0"/>
        <w:adjustRightInd w:val="0"/>
        <w:spacing w:after="0" w:line="360" w:lineRule="auto"/>
        <w:ind w:firstLine="709"/>
        <w:jc w:val="both"/>
        <w:rPr>
          <w:rFonts w:ascii="Times New Roman" w:hAnsi="Times New Roman" w:cs="Times New Roman"/>
        </w:rPr>
      </w:pPr>
      <w:r w:rsidRPr="00925176">
        <w:rPr>
          <w:rFonts w:ascii="Times New Roman" w:hAnsi="Times New Roman" w:cs="Times New Roman"/>
          <w:sz w:val="28"/>
          <w:szCs w:val="28"/>
        </w:rPr>
        <w:t xml:space="preserve">Что касается предмета договора, то представляется необходимым уточнить позиции относительно терминов «предмет договора» и «объект договора». Под первым следует понимать материальное или интеллектуальное выражение того, на что направлены интересы контрагентов, выраженные через согласование воль. Объектом же договора выступают совокупность действий, совершаемых относительно предмета сторонами. </w:t>
      </w:r>
    </w:p>
    <w:p w:rsidR="00E337C8" w:rsidRPr="00925176" w:rsidRDefault="00E337C8" w:rsidP="00E337C8">
      <w:pPr>
        <w:autoSpaceDE w:val="0"/>
        <w:autoSpaceDN w:val="0"/>
        <w:adjustRightInd w:val="0"/>
        <w:spacing w:after="0" w:line="360" w:lineRule="auto"/>
        <w:ind w:firstLine="709"/>
        <w:jc w:val="both"/>
        <w:rPr>
          <w:rStyle w:val="blk"/>
        </w:rPr>
      </w:pPr>
      <w:r w:rsidRPr="00925176">
        <w:rPr>
          <w:rFonts w:ascii="Times New Roman" w:hAnsi="Times New Roman" w:cs="Times New Roman"/>
          <w:sz w:val="28"/>
          <w:szCs w:val="28"/>
        </w:rPr>
        <w:t xml:space="preserve">Итак, предметом договора займа являются деньги, либо иные вещи, определенные родовыми признаками. Отличительной особенностью данного договора является цель использования предмета – его потребление, что детерминирует передачу в собственность заемщика </w:t>
      </w:r>
      <w:proofErr w:type="spellStart"/>
      <w:r w:rsidRPr="00925176">
        <w:rPr>
          <w:rFonts w:ascii="Times New Roman" w:hAnsi="Times New Roman" w:cs="Times New Roman"/>
          <w:sz w:val="28"/>
          <w:szCs w:val="28"/>
        </w:rPr>
        <w:t>вышеобозначенных</w:t>
      </w:r>
      <w:proofErr w:type="spellEnd"/>
      <w:r w:rsidRPr="00925176">
        <w:rPr>
          <w:rFonts w:ascii="Times New Roman" w:hAnsi="Times New Roman" w:cs="Times New Roman"/>
          <w:sz w:val="28"/>
          <w:szCs w:val="28"/>
        </w:rPr>
        <w:t xml:space="preserve"> вещей. </w:t>
      </w:r>
      <w:r w:rsidRPr="00925176">
        <w:rPr>
          <w:rStyle w:val="blk"/>
          <w:sz w:val="28"/>
          <w:szCs w:val="28"/>
        </w:rPr>
        <w:t>Кроме того, дополняется и предмет договора займа, коим могут также быть ценные бумаги.</w:t>
      </w:r>
    </w:p>
    <w:p w:rsidR="00E337C8" w:rsidRPr="00925176" w:rsidRDefault="00E337C8" w:rsidP="00E337C8">
      <w:pPr>
        <w:autoSpaceDE w:val="0"/>
        <w:autoSpaceDN w:val="0"/>
        <w:adjustRightInd w:val="0"/>
        <w:spacing w:after="0" w:line="360" w:lineRule="auto"/>
        <w:ind w:firstLine="709"/>
        <w:jc w:val="both"/>
        <w:rPr>
          <w:rStyle w:val="blk"/>
          <w:sz w:val="28"/>
          <w:szCs w:val="28"/>
        </w:rPr>
      </w:pPr>
      <w:r w:rsidRPr="00925176">
        <w:rPr>
          <w:rStyle w:val="blk"/>
          <w:sz w:val="28"/>
          <w:szCs w:val="28"/>
        </w:rPr>
        <w:t xml:space="preserve">Однако еще до внесения указанных изменений, судебная практика не исключала наличие возможности существования заемных правоотношений применительно к документарным ценным бумагам. Приведем здесь соответствующий пример из судебной практики. </w:t>
      </w:r>
      <w:r w:rsidRPr="00925176">
        <w:rPr>
          <w:rFonts w:ascii="Times New Roman" w:hAnsi="Times New Roman" w:cs="Times New Roman"/>
          <w:sz w:val="28"/>
          <w:szCs w:val="28"/>
        </w:rPr>
        <w:t xml:space="preserve">Так, решением Арбитражного суда Уральского округа была обоснована возможность </w:t>
      </w:r>
      <w:r w:rsidRPr="00925176">
        <w:rPr>
          <w:rFonts w:ascii="Times New Roman" w:hAnsi="Times New Roman" w:cs="Times New Roman"/>
          <w:sz w:val="28"/>
          <w:szCs w:val="28"/>
        </w:rPr>
        <w:lastRenderedPageBreak/>
        <w:t>заключения договора займа ценных бумаг, поскольку подобные хозяйственные операции с ценными бумагами, отражены в налоговом законодательстве и правовых актах о ценных бумагах</w:t>
      </w:r>
      <w:r>
        <w:rPr>
          <w:rFonts w:ascii="Times New Roman" w:hAnsi="Times New Roman" w:cs="Times New Roman"/>
          <w:sz w:val="28"/>
          <w:szCs w:val="28"/>
        </w:rPr>
        <w:t xml:space="preserve"> [2</w:t>
      </w:r>
      <w:r w:rsidRPr="00925176">
        <w:rPr>
          <w:rFonts w:ascii="Times New Roman" w:hAnsi="Times New Roman" w:cs="Times New Roman"/>
          <w:sz w:val="28"/>
          <w:szCs w:val="28"/>
        </w:rPr>
        <w:t xml:space="preserve">]. </w:t>
      </w:r>
    </w:p>
    <w:p w:rsidR="00E337C8" w:rsidRPr="00925176" w:rsidRDefault="00E337C8" w:rsidP="00E337C8">
      <w:pPr>
        <w:autoSpaceDE w:val="0"/>
        <w:autoSpaceDN w:val="0"/>
        <w:adjustRightInd w:val="0"/>
        <w:spacing w:after="0" w:line="360" w:lineRule="auto"/>
        <w:ind w:firstLine="709"/>
        <w:jc w:val="both"/>
        <w:rPr>
          <w:rFonts w:ascii="Times New Roman" w:hAnsi="Times New Roman" w:cs="Times New Roman"/>
          <w:sz w:val="28"/>
          <w:szCs w:val="28"/>
        </w:rPr>
      </w:pPr>
      <w:r w:rsidRPr="00925176">
        <w:rPr>
          <w:rFonts w:ascii="Times New Roman" w:hAnsi="Times New Roman" w:cs="Times New Roman"/>
          <w:sz w:val="28"/>
          <w:szCs w:val="28"/>
        </w:rPr>
        <w:t>Можно выделить следующие основные черты (признаки) договора займа, отличающие его от иных договорных обязательств и предопределяющие его место в системе гражданско-правовых договоров.</w:t>
      </w:r>
    </w:p>
    <w:p w:rsidR="00E337C8" w:rsidRPr="00925176" w:rsidRDefault="00E337C8" w:rsidP="00E337C8">
      <w:pPr>
        <w:autoSpaceDE w:val="0"/>
        <w:autoSpaceDN w:val="0"/>
        <w:adjustRightInd w:val="0"/>
        <w:spacing w:after="0" w:line="360" w:lineRule="auto"/>
        <w:ind w:firstLine="709"/>
        <w:jc w:val="both"/>
        <w:rPr>
          <w:rFonts w:ascii="Times New Roman" w:hAnsi="Times New Roman" w:cs="Times New Roman"/>
          <w:sz w:val="28"/>
          <w:szCs w:val="28"/>
        </w:rPr>
      </w:pPr>
      <w:r w:rsidRPr="00925176">
        <w:rPr>
          <w:rFonts w:ascii="Times New Roman" w:hAnsi="Times New Roman" w:cs="Times New Roman"/>
          <w:sz w:val="28"/>
          <w:szCs w:val="28"/>
        </w:rPr>
        <w:t xml:space="preserve">Во-первых, объектом договора займа являются деньги или иные вещи, определяемые родовыми признаками (заменимые вещи). </w:t>
      </w:r>
    </w:p>
    <w:p w:rsidR="00E337C8" w:rsidRPr="00925176" w:rsidRDefault="00E337C8" w:rsidP="00E337C8">
      <w:pPr>
        <w:pStyle w:val="a3"/>
        <w:spacing w:line="360" w:lineRule="auto"/>
        <w:ind w:firstLine="709"/>
        <w:jc w:val="both"/>
        <w:rPr>
          <w:sz w:val="28"/>
          <w:szCs w:val="28"/>
        </w:rPr>
      </w:pPr>
      <w:r w:rsidRPr="00925176">
        <w:rPr>
          <w:sz w:val="28"/>
          <w:szCs w:val="28"/>
        </w:rPr>
        <w:t xml:space="preserve">Во-вторых, отмеченная специфика объекта договора займа имеет своим следствием то обстоятельство, что пользование деньгами и иными вещами, определяемыми родовыми признаками, которое возможно только в форме их потребления, предполагает наличие у заемщика правомочия по распоряжению объектом договора займа. В действительности определяемая родовыми признаками вещь передается в собственность заемщику, поскольку правомочие потребления, что составляет объект договора займа, равносильно правомочию распоряжения. Последнее неразрывно связано с правом собственности, своеобразный маркер среди иных правомочий триады. </w:t>
      </w:r>
    </w:p>
    <w:p w:rsidR="00E337C8" w:rsidRPr="00925176" w:rsidRDefault="00E337C8" w:rsidP="00E337C8">
      <w:pPr>
        <w:pStyle w:val="a3"/>
        <w:spacing w:line="360" w:lineRule="auto"/>
        <w:ind w:firstLine="709"/>
        <w:jc w:val="both"/>
        <w:rPr>
          <w:sz w:val="28"/>
          <w:szCs w:val="28"/>
        </w:rPr>
      </w:pPr>
      <w:proofErr w:type="gramStart"/>
      <w:r w:rsidRPr="00925176">
        <w:rPr>
          <w:sz w:val="28"/>
          <w:szCs w:val="28"/>
        </w:rPr>
        <w:t>Понятие потреб</w:t>
      </w:r>
      <w:r w:rsidRPr="00925176">
        <w:rPr>
          <w:sz w:val="28"/>
          <w:szCs w:val="28"/>
        </w:rPr>
        <w:softHyphen/>
        <w:t>ление объединяет правомочия владения, пользования и распоряжения, поскольку при потреб</w:t>
      </w:r>
      <w:r w:rsidRPr="00925176">
        <w:rPr>
          <w:sz w:val="28"/>
          <w:szCs w:val="28"/>
        </w:rPr>
        <w:softHyphen/>
        <w:t>лении потребитель преследует цель извлечь для себя заранее определенную выгоду из потребительских свойств вещи, чем фактически реализует свое право на пользо</w:t>
      </w:r>
      <w:r w:rsidRPr="00925176">
        <w:rPr>
          <w:sz w:val="28"/>
          <w:szCs w:val="28"/>
        </w:rPr>
        <w:softHyphen/>
        <w:t>вание вещью, но поскольку в процессе пользования потребляемая вещь истощается, ввиду чего дальнейшее пользование потребителем этой вещью становится невоз</w:t>
      </w:r>
      <w:r w:rsidRPr="00925176">
        <w:rPr>
          <w:sz w:val="28"/>
          <w:szCs w:val="28"/>
        </w:rPr>
        <w:softHyphen/>
        <w:t>можным, в процессе пользования потребитель фактически реализует и свое право на распоряжение</w:t>
      </w:r>
      <w:proofErr w:type="gramEnd"/>
      <w:r w:rsidRPr="00925176">
        <w:rPr>
          <w:sz w:val="28"/>
          <w:szCs w:val="28"/>
        </w:rPr>
        <w:t xml:space="preserve"> этой вещью. Содержание правомочия распоряжения вещью составля</w:t>
      </w:r>
      <w:r w:rsidRPr="00925176">
        <w:rPr>
          <w:sz w:val="28"/>
          <w:szCs w:val="28"/>
        </w:rPr>
        <w:softHyphen/>
        <w:t>ет право собственника на определение юридической судьбы этой вещи. Правомочия пользова</w:t>
      </w:r>
      <w:r w:rsidRPr="00925176">
        <w:rPr>
          <w:sz w:val="28"/>
          <w:szCs w:val="28"/>
        </w:rPr>
        <w:softHyphen/>
        <w:t>ния и распоряжения вещью сливаются воедино. Отметим, что в процессе потребления не обязательно, чтобы вещь прекращала свое существование. Например, пользование деньгами влечет их потребление, осу</w:t>
      </w:r>
      <w:r w:rsidRPr="00925176">
        <w:rPr>
          <w:sz w:val="28"/>
          <w:szCs w:val="28"/>
        </w:rPr>
        <w:softHyphen/>
        <w:t>ществляемое без их истощения.</w:t>
      </w:r>
    </w:p>
    <w:p w:rsidR="00E337C8" w:rsidRPr="00925176" w:rsidRDefault="00E337C8" w:rsidP="00E337C8">
      <w:pPr>
        <w:pStyle w:val="a3"/>
        <w:spacing w:line="360" w:lineRule="auto"/>
        <w:ind w:firstLine="709"/>
        <w:jc w:val="both"/>
        <w:rPr>
          <w:sz w:val="28"/>
          <w:szCs w:val="28"/>
        </w:rPr>
      </w:pPr>
      <w:r w:rsidRPr="00925176">
        <w:rPr>
          <w:sz w:val="28"/>
          <w:szCs w:val="28"/>
        </w:rPr>
        <w:lastRenderedPageBreak/>
        <w:t>В-третьих, как мы отмечали выше, по действующему правовому регулированию договор займа носит реальный характер: он считается заключенным лишь с момента фактической передачи займодавцем заемщику денег или вещей, определяемых родовыми признаками и служащих объектом договора займа. Таким образом, для заключения реального договора необходимо наличие юридического состава, включающего в себя два конститутивных элемента: выражение сторонами согласованной воли (достижение соглашения) по существенным условиям сделки и передача имущества, по отношению к которому впоследствии должником будут совершаться действия, составляющие предмет данной сделки. Указанный состав относится к числу сложных, поскольку накопление входящих в него юридических фактов производится в строгой последовательности, а именно: сначала требуется достижение сторонами соглашения, затем – совершение действия по передаче имущества.</w:t>
      </w:r>
    </w:p>
    <w:p w:rsidR="00E337C8" w:rsidRPr="00925176" w:rsidRDefault="00E337C8" w:rsidP="00E337C8">
      <w:pPr>
        <w:pStyle w:val="a3"/>
        <w:spacing w:line="360" w:lineRule="auto"/>
        <w:ind w:firstLine="709"/>
        <w:jc w:val="both"/>
        <w:rPr>
          <w:sz w:val="28"/>
          <w:szCs w:val="28"/>
        </w:rPr>
      </w:pPr>
      <w:proofErr w:type="gramStart"/>
      <w:r w:rsidRPr="00925176">
        <w:rPr>
          <w:sz w:val="28"/>
          <w:szCs w:val="28"/>
        </w:rPr>
        <w:t>Реальный характер договора займа означает, что даже при наличии между заемщиком и займодавцем письменного соглашения, по которому последний взял на себя обязанность предоставить заемщику определенную денежную сумму или количество вещей, на стороне заемщика не возникает права требовать от займодавца исполнения этой обязанности, поскольку само заемное обязательство не может считаться возникшим до момента фактической передачи займодавцем денег или иного имущества в</w:t>
      </w:r>
      <w:proofErr w:type="gramEnd"/>
      <w:r w:rsidRPr="00925176">
        <w:rPr>
          <w:sz w:val="28"/>
          <w:szCs w:val="28"/>
        </w:rPr>
        <w:t xml:space="preserve"> собственность заемщику. </w:t>
      </w:r>
    </w:p>
    <w:p w:rsidR="00E337C8" w:rsidRPr="00925176" w:rsidRDefault="00E337C8" w:rsidP="00E337C8">
      <w:pPr>
        <w:pStyle w:val="a3"/>
        <w:spacing w:line="360" w:lineRule="auto"/>
        <w:ind w:firstLine="709"/>
        <w:jc w:val="both"/>
        <w:rPr>
          <w:sz w:val="28"/>
          <w:szCs w:val="28"/>
        </w:rPr>
      </w:pPr>
      <w:r w:rsidRPr="00925176">
        <w:rPr>
          <w:sz w:val="28"/>
          <w:szCs w:val="28"/>
        </w:rPr>
        <w:t xml:space="preserve">Однако, как нами уже было отмечено выше, законодатель внесенными изменениями сделал возможным заключение договора займа по модели консенсуального договора. Так как на сегодняшний день новая редакция принята 26.07.2017 г. ФЗ № 212 представляется возможным дать им правовую оценку. Теперь достигнутым соглашением можно возложить на займодавца обязанность предоставления займа, тем самым максимально приблизив конструкцию договора займа к кредитному договору по критерию момента их заключения: договор займа может быть заключён как по модели </w:t>
      </w:r>
      <w:r w:rsidRPr="00925176">
        <w:rPr>
          <w:sz w:val="28"/>
          <w:szCs w:val="28"/>
        </w:rPr>
        <w:lastRenderedPageBreak/>
        <w:t>реального. По мнению некоторых цивилистов, восприятие договора займа исключительно в качестве реального имеет под собой обоснование. Специфика субъектного состава, когда на стороне займодавца выступает не кредитная организация, имеющая значительные финансовые ресурсы, возложение обязанности предоставить договор займа представляется излишним [</w:t>
      </w:r>
      <w:r>
        <w:rPr>
          <w:sz w:val="28"/>
          <w:szCs w:val="28"/>
        </w:rPr>
        <w:t>3</w:t>
      </w:r>
      <w:r w:rsidRPr="00925176">
        <w:rPr>
          <w:sz w:val="28"/>
          <w:szCs w:val="28"/>
        </w:rPr>
        <w:t xml:space="preserve">]. </w:t>
      </w:r>
    </w:p>
    <w:p w:rsidR="00E337C8" w:rsidRPr="00925176" w:rsidRDefault="00E337C8" w:rsidP="00E337C8">
      <w:pPr>
        <w:pStyle w:val="a3"/>
        <w:spacing w:line="360" w:lineRule="auto"/>
        <w:ind w:firstLine="709"/>
        <w:jc w:val="both"/>
        <w:rPr>
          <w:sz w:val="28"/>
          <w:szCs w:val="28"/>
        </w:rPr>
      </w:pPr>
      <w:r w:rsidRPr="00925176">
        <w:rPr>
          <w:sz w:val="28"/>
          <w:szCs w:val="28"/>
        </w:rPr>
        <w:t xml:space="preserve">Однако законодатель установил положение о том, что, если займодавцем в договоре является гражданин, договор считается заключённым с момента передачи… предмета договора займа заёмщику или указанному им лицу» (абзац второй п. 1 ст. 807 ГК РФ). Тем самым, конструкция реального договора будет сохранена для указанного субъектного состава. Кроме того, при заключении договора займа по модели консенсуального предусмотрен механизм отказа от займа, в соответствие с которым займодавец «может отказаться от исполнения договора при наличии обстоятельств, очевидно свидетельствующих о том, что заём не будет возвращён в срок» (п. 3 ст. 807 ГК РФ). </w:t>
      </w:r>
    </w:p>
    <w:p w:rsidR="00E337C8" w:rsidRPr="00925176" w:rsidRDefault="00E337C8" w:rsidP="00E337C8">
      <w:pPr>
        <w:autoSpaceDE w:val="0"/>
        <w:autoSpaceDN w:val="0"/>
        <w:adjustRightInd w:val="0"/>
        <w:spacing w:after="0" w:line="360" w:lineRule="auto"/>
        <w:ind w:firstLine="709"/>
        <w:jc w:val="both"/>
        <w:rPr>
          <w:rFonts w:ascii="Times New Roman" w:hAnsi="Times New Roman" w:cs="Times New Roman"/>
          <w:sz w:val="28"/>
          <w:szCs w:val="28"/>
        </w:rPr>
      </w:pPr>
      <w:r w:rsidRPr="00925176">
        <w:rPr>
          <w:rFonts w:ascii="Times New Roman" w:hAnsi="Times New Roman" w:cs="Times New Roman"/>
          <w:sz w:val="28"/>
          <w:szCs w:val="28"/>
        </w:rPr>
        <w:t xml:space="preserve">В-четвертых, договор займа является односторонним договором, </w:t>
      </w:r>
      <w:proofErr w:type="gramStart"/>
      <w:r w:rsidRPr="00925176">
        <w:rPr>
          <w:rFonts w:ascii="Times New Roman" w:hAnsi="Times New Roman" w:cs="Times New Roman"/>
          <w:sz w:val="28"/>
          <w:szCs w:val="28"/>
        </w:rPr>
        <w:t>происходящая</w:t>
      </w:r>
      <w:proofErr w:type="gramEnd"/>
      <w:r w:rsidRPr="00925176">
        <w:rPr>
          <w:rFonts w:ascii="Times New Roman" w:hAnsi="Times New Roman" w:cs="Times New Roman"/>
          <w:sz w:val="28"/>
          <w:szCs w:val="28"/>
        </w:rPr>
        <w:t xml:space="preserve"> из комплекса прав и обязанностей. Так, обязанность имеется исключительно лишь у заемщика, состоит в действиях по возврату той же денежной суммы либо равного количества прочих вещей указанного того же качества, рода и количества, не обладающих, при этом, индивидуальными чертами, не отличающими от вещей того же рода.</w:t>
      </w:r>
    </w:p>
    <w:p w:rsidR="00E337C8" w:rsidRPr="00925176" w:rsidRDefault="00E337C8" w:rsidP="00E337C8">
      <w:pPr>
        <w:pStyle w:val="a3"/>
        <w:spacing w:line="360" w:lineRule="auto"/>
        <w:ind w:firstLine="709"/>
        <w:jc w:val="both"/>
        <w:rPr>
          <w:sz w:val="28"/>
          <w:szCs w:val="28"/>
        </w:rPr>
      </w:pPr>
      <w:r w:rsidRPr="00925176">
        <w:rPr>
          <w:sz w:val="28"/>
          <w:szCs w:val="28"/>
        </w:rPr>
        <w:t xml:space="preserve">Тем самым, на современном этапе предпринята попытка концептуального сближения таких договорных типов, как кредитный договор и договор займа, а сохранение подобной тенденции может повлечь поглощение сущностных признаков кредитного договора обеих договорных конструкций. </w:t>
      </w:r>
    </w:p>
    <w:p w:rsidR="00E337C8" w:rsidRDefault="00E337C8" w:rsidP="00E337C8">
      <w:pPr>
        <w:spacing w:after="0" w:line="360" w:lineRule="auto"/>
        <w:ind w:firstLine="709"/>
        <w:jc w:val="both"/>
        <w:rPr>
          <w:rFonts w:ascii="Times New Roman" w:hAnsi="Times New Roman" w:cs="Times New Roman"/>
          <w:sz w:val="28"/>
          <w:szCs w:val="28"/>
        </w:rPr>
      </w:pPr>
    </w:p>
    <w:p w:rsidR="00E337C8" w:rsidRDefault="00E337C8" w:rsidP="00E337C8">
      <w:pPr>
        <w:spacing w:after="0" w:line="360" w:lineRule="auto"/>
        <w:ind w:firstLine="709"/>
        <w:jc w:val="both"/>
        <w:rPr>
          <w:rFonts w:ascii="Times New Roman" w:hAnsi="Times New Roman" w:cs="Times New Roman"/>
          <w:sz w:val="28"/>
          <w:szCs w:val="28"/>
        </w:rPr>
      </w:pPr>
    </w:p>
    <w:p w:rsidR="00E337C8" w:rsidRDefault="00E337C8" w:rsidP="00E337C8">
      <w:pPr>
        <w:spacing w:after="0" w:line="360" w:lineRule="auto"/>
        <w:ind w:firstLine="709"/>
        <w:jc w:val="both"/>
        <w:rPr>
          <w:rFonts w:ascii="Times New Roman" w:hAnsi="Times New Roman" w:cs="Times New Roman"/>
          <w:sz w:val="28"/>
          <w:szCs w:val="28"/>
        </w:rPr>
      </w:pPr>
    </w:p>
    <w:p w:rsidR="00E337C8" w:rsidRDefault="00E337C8" w:rsidP="00E337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E337C8" w:rsidRDefault="00E337C8" w:rsidP="00E337C8">
      <w:pPr>
        <w:spacing w:after="0" w:line="360" w:lineRule="auto"/>
        <w:ind w:firstLine="709"/>
        <w:jc w:val="both"/>
        <w:rPr>
          <w:rFonts w:ascii="Times New Roman" w:hAnsi="Times New Roman" w:cs="Times New Roman"/>
          <w:sz w:val="28"/>
          <w:szCs w:val="28"/>
        </w:rPr>
      </w:pPr>
    </w:p>
    <w:p w:rsidR="00E337C8" w:rsidRPr="00E337C8" w:rsidRDefault="00E337C8" w:rsidP="00E337C8">
      <w:pPr>
        <w:pStyle w:val="a4"/>
        <w:numPr>
          <w:ilvl w:val="0"/>
          <w:numId w:val="1"/>
        </w:numPr>
        <w:spacing w:after="0" w:line="360" w:lineRule="auto"/>
        <w:ind w:left="0" w:firstLine="709"/>
        <w:jc w:val="both"/>
        <w:rPr>
          <w:rFonts w:ascii="Times New Roman" w:hAnsi="Times New Roman" w:cs="Times New Roman"/>
          <w:sz w:val="28"/>
          <w:szCs w:val="28"/>
        </w:rPr>
      </w:pPr>
      <w:r w:rsidRPr="00E337C8">
        <w:rPr>
          <w:rFonts w:ascii="Times New Roman" w:hAnsi="Times New Roman" w:cs="Times New Roman"/>
          <w:sz w:val="28"/>
          <w:szCs w:val="28"/>
        </w:rPr>
        <w:t>Гражданский кодекс Российской Федерации (часть вторая) от 26.01.1996 № 14-ФЗ (ред. от 18.03.2019, с изм. от 03.07.2019). // Собрание законодательства РФ. 29.01.1996. № 5. ст. 410.</w:t>
      </w:r>
    </w:p>
    <w:p w:rsidR="00E337C8" w:rsidRPr="00E337C8" w:rsidRDefault="00E337C8" w:rsidP="00E337C8">
      <w:pPr>
        <w:pStyle w:val="a4"/>
        <w:numPr>
          <w:ilvl w:val="0"/>
          <w:numId w:val="1"/>
        </w:numPr>
        <w:spacing w:after="0" w:line="360" w:lineRule="auto"/>
        <w:ind w:left="0" w:firstLine="709"/>
        <w:jc w:val="both"/>
        <w:rPr>
          <w:rFonts w:ascii="Times New Roman" w:hAnsi="Times New Roman" w:cs="Times New Roman"/>
          <w:sz w:val="28"/>
          <w:szCs w:val="28"/>
        </w:rPr>
      </w:pPr>
      <w:r w:rsidRPr="00925176">
        <w:rPr>
          <w:rFonts w:ascii="Times New Roman" w:hAnsi="Times New Roman" w:cs="Times New Roman"/>
          <w:sz w:val="28"/>
          <w:szCs w:val="28"/>
        </w:rPr>
        <w:t xml:space="preserve">Постановление Федерального арбитражного суда Центрального округа от 11.03.2011 по делу № А54-715/2010С10 // Сайт судебных и нормативных актов РФ. - Режим доступа: </w:t>
      </w:r>
      <w:hyperlink r:id="rId7" w:history="1">
        <w:r w:rsidRPr="00E337C8">
          <w:rPr>
            <w:rFonts w:ascii="Times New Roman" w:hAnsi="Times New Roman" w:cs="Times New Roman"/>
            <w:sz w:val="28"/>
            <w:szCs w:val="28"/>
          </w:rPr>
          <w:t>http://sudact.ru</w:t>
        </w:r>
      </w:hyperlink>
      <w:r w:rsidRPr="00E337C8">
        <w:rPr>
          <w:rFonts w:ascii="Times New Roman" w:hAnsi="Times New Roman" w:cs="Times New Roman"/>
          <w:sz w:val="28"/>
          <w:szCs w:val="28"/>
        </w:rPr>
        <w:t>.</w:t>
      </w:r>
    </w:p>
    <w:p w:rsidR="00E337C8" w:rsidRPr="00925176" w:rsidRDefault="00E337C8" w:rsidP="00E337C8">
      <w:pPr>
        <w:pStyle w:val="a4"/>
        <w:numPr>
          <w:ilvl w:val="0"/>
          <w:numId w:val="1"/>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Ф</w:t>
      </w:r>
      <w:r w:rsidRPr="00925176">
        <w:rPr>
          <w:rFonts w:ascii="Times New Roman" w:hAnsi="Times New Roman" w:cs="Times New Roman"/>
          <w:sz w:val="28"/>
          <w:szCs w:val="28"/>
        </w:rPr>
        <w:t>едеральный закон от 11.03.1997 № 48-ФЗ «О переводном и простом векселе» // Собрание законодательства РФ. 17.03.1997. № 11. ст. 1238.</w:t>
      </w:r>
    </w:p>
    <w:p w:rsidR="00E337C8" w:rsidRPr="00E337C8" w:rsidRDefault="00E337C8" w:rsidP="00E337C8">
      <w:pPr>
        <w:pStyle w:val="a4"/>
        <w:numPr>
          <w:ilvl w:val="0"/>
          <w:numId w:val="1"/>
        </w:numPr>
        <w:spacing w:after="0" w:line="360" w:lineRule="auto"/>
        <w:ind w:left="0" w:firstLine="709"/>
        <w:jc w:val="both"/>
        <w:rPr>
          <w:rFonts w:ascii="Times New Roman" w:hAnsi="Times New Roman" w:cs="Times New Roman"/>
          <w:sz w:val="28"/>
          <w:szCs w:val="28"/>
        </w:rPr>
      </w:pPr>
      <w:r w:rsidRPr="00925176">
        <w:rPr>
          <w:rFonts w:ascii="Times New Roman" w:hAnsi="Times New Roman" w:cs="Times New Roman"/>
          <w:sz w:val="28"/>
          <w:szCs w:val="28"/>
        </w:rPr>
        <w:t>Демидова Г.С., Егорова Н.Е. К вопросу о понятии и правовой природе потребительского кредита // Вестник Южно-Уральского гос. ун-та. Серия: Право. 2014. Т. 14. № 4. С. 73–77.</w:t>
      </w:r>
    </w:p>
    <w:p w:rsidR="00E337C8" w:rsidRPr="00925176" w:rsidRDefault="00E337C8" w:rsidP="00E337C8">
      <w:pPr>
        <w:pStyle w:val="a4"/>
        <w:numPr>
          <w:ilvl w:val="0"/>
          <w:numId w:val="1"/>
        </w:numPr>
        <w:spacing w:after="0" w:line="360" w:lineRule="auto"/>
        <w:ind w:left="0" w:firstLine="709"/>
        <w:jc w:val="both"/>
        <w:rPr>
          <w:rFonts w:ascii="Times New Roman" w:hAnsi="Times New Roman" w:cs="Times New Roman"/>
          <w:sz w:val="28"/>
          <w:szCs w:val="28"/>
        </w:rPr>
      </w:pPr>
      <w:proofErr w:type="spellStart"/>
      <w:r w:rsidRPr="00925176">
        <w:rPr>
          <w:rFonts w:ascii="Times New Roman" w:hAnsi="Times New Roman" w:cs="Times New Roman"/>
          <w:sz w:val="28"/>
          <w:szCs w:val="28"/>
        </w:rPr>
        <w:t>Степнюк</w:t>
      </w:r>
      <w:proofErr w:type="spellEnd"/>
      <w:r w:rsidRPr="00925176">
        <w:rPr>
          <w:rFonts w:ascii="Times New Roman" w:hAnsi="Times New Roman" w:cs="Times New Roman"/>
          <w:sz w:val="28"/>
          <w:szCs w:val="28"/>
        </w:rPr>
        <w:t xml:space="preserve"> А.В. Договор займа в российском гражданском праве </w:t>
      </w:r>
      <w:proofErr w:type="spellStart"/>
      <w:r w:rsidRPr="00925176">
        <w:rPr>
          <w:rFonts w:ascii="Times New Roman" w:hAnsi="Times New Roman" w:cs="Times New Roman"/>
          <w:sz w:val="28"/>
          <w:szCs w:val="28"/>
        </w:rPr>
        <w:t>дис</w:t>
      </w:r>
      <w:proofErr w:type="spellEnd"/>
      <w:r w:rsidRPr="00925176">
        <w:rPr>
          <w:rFonts w:ascii="Times New Roman" w:hAnsi="Times New Roman" w:cs="Times New Roman"/>
          <w:sz w:val="28"/>
          <w:szCs w:val="28"/>
        </w:rPr>
        <w:t xml:space="preserve">. ... канд. </w:t>
      </w:r>
      <w:proofErr w:type="spellStart"/>
      <w:r w:rsidRPr="00925176">
        <w:rPr>
          <w:rFonts w:ascii="Times New Roman" w:hAnsi="Times New Roman" w:cs="Times New Roman"/>
          <w:sz w:val="28"/>
          <w:szCs w:val="28"/>
        </w:rPr>
        <w:t>юрид</w:t>
      </w:r>
      <w:proofErr w:type="spellEnd"/>
      <w:r w:rsidRPr="00925176">
        <w:rPr>
          <w:rFonts w:ascii="Times New Roman" w:hAnsi="Times New Roman" w:cs="Times New Roman"/>
          <w:sz w:val="28"/>
          <w:szCs w:val="28"/>
        </w:rPr>
        <w:t>. на</w:t>
      </w:r>
      <w:r>
        <w:rPr>
          <w:rFonts w:ascii="Times New Roman" w:hAnsi="Times New Roman" w:cs="Times New Roman"/>
          <w:sz w:val="28"/>
          <w:szCs w:val="28"/>
        </w:rPr>
        <w:t>ук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12.00.03. Москва, 2002. – </w:t>
      </w:r>
      <w:r w:rsidRPr="00925176">
        <w:rPr>
          <w:rFonts w:ascii="Times New Roman" w:hAnsi="Times New Roman" w:cs="Times New Roman"/>
          <w:sz w:val="28"/>
          <w:szCs w:val="28"/>
        </w:rPr>
        <w:t>212</w:t>
      </w:r>
      <w:r>
        <w:rPr>
          <w:rFonts w:ascii="Times New Roman" w:hAnsi="Times New Roman" w:cs="Times New Roman"/>
          <w:sz w:val="28"/>
          <w:szCs w:val="28"/>
        </w:rPr>
        <w:t xml:space="preserve"> с</w:t>
      </w:r>
      <w:r w:rsidRPr="00925176">
        <w:rPr>
          <w:rFonts w:ascii="Times New Roman" w:hAnsi="Times New Roman" w:cs="Times New Roman"/>
          <w:sz w:val="28"/>
          <w:szCs w:val="28"/>
        </w:rPr>
        <w:t>.</w:t>
      </w:r>
    </w:p>
    <w:p w:rsidR="00E337C8" w:rsidRPr="00E337C8" w:rsidRDefault="00E337C8" w:rsidP="00E337C8">
      <w:pPr>
        <w:spacing w:after="0" w:line="360" w:lineRule="auto"/>
        <w:ind w:firstLine="709"/>
        <w:jc w:val="both"/>
        <w:rPr>
          <w:rFonts w:ascii="Times New Roman" w:hAnsi="Times New Roman" w:cs="Times New Roman"/>
          <w:sz w:val="28"/>
          <w:szCs w:val="28"/>
        </w:rPr>
      </w:pPr>
    </w:p>
    <w:p w:rsidR="00E337C8" w:rsidRPr="00E337C8" w:rsidRDefault="00E337C8" w:rsidP="00E337C8">
      <w:pPr>
        <w:spacing w:after="0" w:line="360" w:lineRule="auto"/>
        <w:ind w:firstLine="709"/>
        <w:jc w:val="both"/>
        <w:rPr>
          <w:rFonts w:ascii="Times New Roman" w:hAnsi="Times New Roman" w:cs="Times New Roman"/>
          <w:sz w:val="28"/>
          <w:szCs w:val="28"/>
        </w:rPr>
      </w:pPr>
    </w:p>
    <w:sectPr w:rsidR="00E337C8" w:rsidRPr="00E33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72D1"/>
    <w:multiLevelType w:val="hybridMultilevel"/>
    <w:tmpl w:val="803883CA"/>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90"/>
    <w:rsid w:val="00795490"/>
    <w:rsid w:val="00B50532"/>
    <w:rsid w:val="00BD5CA2"/>
    <w:rsid w:val="00E33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7C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337C8"/>
    <w:pPr>
      <w:spacing w:after="0" w:line="240" w:lineRule="auto"/>
    </w:pPr>
    <w:rPr>
      <w:rFonts w:ascii="Times New Roman" w:eastAsia="Times New Roman" w:hAnsi="Times New Roman" w:cs="Times New Roman"/>
      <w:sz w:val="24"/>
      <w:szCs w:val="24"/>
      <w:lang w:eastAsia="ru-RU"/>
    </w:rPr>
  </w:style>
  <w:style w:type="paragraph" w:styleId="a3">
    <w:name w:val="Normal (Web)"/>
    <w:basedOn w:val="a"/>
    <w:uiPriority w:val="99"/>
    <w:rsid w:val="00E337C8"/>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E337C8"/>
    <w:rPr>
      <w:rFonts w:ascii="Times New Roman" w:hAnsi="Times New Roman" w:cs="Times New Roman" w:hint="default"/>
    </w:rPr>
  </w:style>
  <w:style w:type="paragraph" w:customStyle="1" w:styleId="ConsPlusNonformat">
    <w:name w:val="ConsPlusNonformat"/>
    <w:rsid w:val="00E337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E337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7C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337C8"/>
    <w:pPr>
      <w:spacing w:after="0" w:line="240" w:lineRule="auto"/>
    </w:pPr>
    <w:rPr>
      <w:rFonts w:ascii="Times New Roman" w:eastAsia="Times New Roman" w:hAnsi="Times New Roman" w:cs="Times New Roman"/>
      <w:sz w:val="24"/>
      <w:szCs w:val="24"/>
      <w:lang w:eastAsia="ru-RU"/>
    </w:rPr>
  </w:style>
  <w:style w:type="paragraph" w:styleId="a3">
    <w:name w:val="Normal (Web)"/>
    <w:basedOn w:val="a"/>
    <w:uiPriority w:val="99"/>
    <w:rsid w:val="00E337C8"/>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E337C8"/>
    <w:rPr>
      <w:rFonts w:ascii="Times New Roman" w:hAnsi="Times New Roman" w:cs="Times New Roman" w:hint="default"/>
    </w:rPr>
  </w:style>
  <w:style w:type="paragraph" w:customStyle="1" w:styleId="ConsPlusNonformat">
    <w:name w:val="ConsPlusNonformat"/>
    <w:rsid w:val="00E337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E33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dac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CB082-6694-45BD-AF97-1BEE3C8E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6970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francuz19.05.1989@yandex.ru</cp:lastModifiedBy>
  <cp:revision>2</cp:revision>
  <dcterms:created xsi:type="dcterms:W3CDTF">2021-10-01T04:32:00Z</dcterms:created>
  <dcterms:modified xsi:type="dcterms:W3CDTF">2021-10-01T04:32:00Z</dcterms:modified>
</cp:coreProperties>
</file>