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08" w:rsidRPr="00700408" w:rsidRDefault="00700408" w:rsidP="00AA3FB1">
      <w:pPr>
        <w:spacing w:before="100" w:beforeAutospacing="1" w:after="100" w:afterAutospacing="1" w:line="240" w:lineRule="auto"/>
        <w:ind w:right="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познавательной активности </w:t>
      </w:r>
      <w:proofErr w:type="gramStart"/>
      <w:r w:rsidRPr="0070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70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как средство формирования естественнонаучной грамотности».</w:t>
      </w:r>
    </w:p>
    <w:p w:rsidR="00700408" w:rsidRPr="00700408" w:rsidRDefault="00700408" w:rsidP="00AA3FB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Л.В.Галиулина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химии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Цильнинской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 им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ероя Советского Союза Н.И.Малышева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Естественнонаучная грамотность является одним из направлений международного исследования PISA. В связи с этим первостепенной задачей современной школы является не просто формирование, а повышение данного показателя.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реализовать новые требования к результатам освоения  образовательной программы при уменьшении количества учебных часов на изучение предмета по базовому учебному плану, если содержание школьного химического образования практически не изменилось?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успешно сформировать  естественнонаучную грамотность необходимо использовать  методы и приемы активного обучения, которые побуждают учащихся к активной мыслительной и практической деятельности в процессе овладения учебным материалом.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активизации определяют через противоречия между имеющимся опытом учащихся и возникшими перед ним трудностями при решении учебно-познавательных задач  в том случае, когда ученик принимает задачу и пытается её решить, но обнаруживает недостаточность своего опыта, складывается так называемая проблемная ситуация, которая вызывает активную мыслительную деятельность. На уроках химии решаем задачи, которые встречаются в той или иной жизненной ситуации. Их контекст обеспечивает условия для применения и развития знаний при решении проблем, способных возникать в реальной жизни. Чаще всего это вопросы и проблемы, с которыми ученик сталкивается в своей обыденно-практической жизни, либо они соответствуют его интересам и найдут применение в дальнейшем обучении. Контекст заданий может быть для разного познавательного уровня.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темы</w:t>
      </w:r>
      <w:r w:rsidRPr="0070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«Растворы» вместо традиционных заданий можно использовать задачи такого плана: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1. Порошок «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Регидрон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используют при обезвоживании организма. Одна доза порошка содержит3,5 г хлорида натрия, 2,5 г хлорида калия,2,9 г цитрата натрия и 10 г глюкозы. Перед употреблением дозу растворяют в 1 л воды. Определите массовые доли всех компонентов порошка «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Регидрон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полученном растворе.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Для изготовления глазных капель используют 3%-ный раствор иодида калия. Рассчитайте массу иодида калия и воды, которые необходимо для получения 300г такого раствора. Запишите подробно ход решения задачи.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на вывод химической формулы органического вещества: 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дельфина слёзы сладкие, потому что в слезе дельфина содержатся сахара – галактоза и фруктоза. Углеводно-белковые, напоминающие белок куриного яйца, слёзы служат смазкой. Дельфины плачут, чтобы лучше видеть и быстрее плавать. Задание 1.Установите молекулярную формулу фруктозы, которая придаёт дельфиньим слезам сладкий вкус, если массовые доли элементов в ней составляют: 40,0%(С), 6,6%(Н), 53,4%(О). Задание 2. Сравните (в табличной форме) физические свойства глюкозы и фруктозы.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Расчетные задачи: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одной газете была опубликована информация о том, что из 1 кг железных гвоздей образуется 3 кг ржавчины. Так ли это? Ответ подтвердите расчетом, приняв, что в состав гвоздей входит только железо, а процесс ржавления протекает по упрощенной схеме: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Fe+H2O→Fe2O3+H2↑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Глутамат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 – усилитель вкуса в продуктах, более известный как пищевая добавка Е621. В продуктах питания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глутамата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 должно быть не более 0,8%. Общая масса продукта в одной коробке лапши быстрого приготовления «</w:t>
      </w:r>
      <w:proofErr w:type="spellStart"/>
      <w:proofErr w:type="gram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Доширак</w:t>
      </w:r>
      <w:proofErr w:type="spellEnd"/>
      <w:proofErr w:type="gram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90 г. </w:t>
      </w:r>
      <w:proofErr w:type="gram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proofErr w:type="gram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минимальное количество коробок лапши «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Доширак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можно приправить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глутаматом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натрия, полученном из 1 кг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глутаминовой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кислоты, содержащей 5% примесей, и щелочи?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установление соответствие между веществом и основной областью его применения. К каждой позиции, обозначенной буквой, подберите соответствующую позицию, обозначенную цифрой.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Вещество:                                      Область применения: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А) KO</w:t>
      </w:r>
      <w:r w:rsidRPr="00700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           1) пищевая промышленность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Na</w:t>
      </w:r>
      <w:r w:rsidRPr="00700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SiO</w:t>
      </w:r>
      <w:r w:rsidRPr="00700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2) регенерация воздуха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NaCl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                              3) производство стекла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                              4) в качестве клея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Надо помнить о том, что учащихся привлекают поиск, исследования. Интерес развивается активно, если удовлетворяется естественное стремление ученика самому «открывать» новое и вырабатывать собственное суждение.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Например: Для исследования процесса испарения жидкостей при комнатной температуре в различные сосуды цилиндрической формы, находящиеся в одном помещении при одинаковых условиях, налили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воду или эфир различного объема. 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измеряли время испарения жидкости из каждого сосуда.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проверить гипотезу о том, что скорость испарения зависит от рода жидкости. Для каких сосудов в этих целях необходимо провести сравнительные измерения времени испарения жидкости?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Мысленный эксперимент: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Поместили в химические </w:t>
      </w:r>
      <w:proofErr w:type="gram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стаканы</w:t>
      </w:r>
      <w:proofErr w:type="gram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вещества: сульфат натрия, этиловый спирт,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калия, хлорид серебра. Добавили в каждый стакан дистиллированную воду. Размешали содержимое. После чего опустили в каждый стакан электроды прибора для испытания веществ на электропроводность. Укажите визуальный эффект в каждом случае: лампочка загорится или нет. Объясните причину. Заполните таблицу: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3163"/>
        <w:gridCol w:w="3273"/>
        <w:gridCol w:w="3027"/>
      </w:tblGrid>
      <w:tr w:rsidR="00700408" w:rsidRPr="00700408" w:rsidTr="00700408">
        <w:tc>
          <w:tcPr>
            <w:tcW w:w="3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408" w:rsidRPr="00700408" w:rsidRDefault="00700408" w:rsidP="00AA3FB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вещества</w:t>
            </w:r>
          </w:p>
        </w:tc>
        <w:tc>
          <w:tcPr>
            <w:tcW w:w="328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408" w:rsidRPr="00700408" w:rsidRDefault="00700408" w:rsidP="00AA3FB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Визуальный эффект</w:t>
            </w:r>
          </w:p>
        </w:tc>
        <w:tc>
          <w:tcPr>
            <w:tcW w:w="303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408" w:rsidRPr="00700408" w:rsidRDefault="00700408" w:rsidP="00AA3FB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Объяснение.</w:t>
            </w:r>
          </w:p>
        </w:tc>
      </w:tr>
      <w:tr w:rsidR="00700408" w:rsidRPr="00700408" w:rsidTr="00700408">
        <w:tc>
          <w:tcPr>
            <w:tcW w:w="31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408" w:rsidRPr="00700408" w:rsidRDefault="00700408" w:rsidP="00AA3FB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408" w:rsidRPr="00700408" w:rsidRDefault="00700408" w:rsidP="00AA3FB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408" w:rsidRPr="00700408" w:rsidRDefault="00700408" w:rsidP="00AA3FB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вывода с учетом предложенной ситуации.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1. Медную проволоку, очищенную от лакового покрытия, внесли в пламя спиртовки. Через некоторое время ее поверхность стала черной. Объясните наблюдаемое явление.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первый взгляд, ответ очевиден, черный налет – это оксид меди(II). Но из своего повседневного опыта дети знают, что чайник на костре покрывается сажей, значит, и черный налет на медной проволоке тоже может быть сажей. Таким образом, с учетом жизненного опыта учащихся ответ неоднозначен.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отметить важную роль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в повышении теоретической и практической подготовки обучающихся. </w:t>
      </w:r>
      <w:proofErr w:type="gram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содействуют формированию обобщенных умений, развивают самостоятельность и творческую активность, а также создают благоприятные условия для формирования у обучающихся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картины мира.</w:t>
      </w:r>
      <w:proofErr w:type="gram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возникает важность в изучении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связей, как факторе активизации познавательной деятельности обучающихся.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Интегрированные уроки из опыта работы:  химии и географии «Железо – знакомый всем металл…»; химии и истории «Тайны глины и стекла», «Роль химии в истории развития человечества»; химии, истории и биологии «Пища – лучшее лекарство»; химии и физики « Нитраты в продуктах питания».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естественнонаучной грамотности требует не только выстраивание связей между предметами естественнонаучного цикла, но и освоение как инструментальных читательской, математической, цифровой грамотности. Чем активнее протекает мыслительный и практический учебно-познавательный процесс, тем продуктивнее его результат. 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Список литературы:</w:t>
      </w:r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00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естественнонаучной грамотности при изучении химии. </w:t>
      </w:r>
      <w:hyperlink r:id="rId4" w:tgtFrame="_blank" w:history="1">
        <w:r w:rsidRPr="00700408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https://www.edu54.ru/upload/iblock/86f/EG_Novosibirsk.pdf</w:t>
        </w:r>
      </w:hyperlink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00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естественнонаучной грамотности на уроках химии.</w:t>
      </w:r>
      <w:r w:rsidRPr="00700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tgtFrame="_blank" w:history="1">
        <w:r w:rsidRPr="00700408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https://uchitel.club/events/formirovanie-estestvennonauchnoy-gramotnosti-na-urokakh-khimii/</w:t>
        </w:r>
      </w:hyperlink>
    </w:p>
    <w:p w:rsidR="00700408" w:rsidRPr="00700408" w:rsidRDefault="00700408" w:rsidP="00AA3FB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Реализация </w:t>
      </w:r>
      <w:proofErr w:type="spellStart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70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на уроке химии. </w:t>
      </w:r>
      <w:hyperlink r:id="rId6" w:tgtFrame="_blank" w:history="1">
        <w:r w:rsidRPr="00700408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https://cyberleninka.ru/article/n/realizatsiya-mezhpredmetnyh-svyazey-na-urokah-himii/viewer</w:t>
        </w:r>
      </w:hyperlink>
    </w:p>
    <w:p w:rsidR="00516B59" w:rsidRDefault="00516B59" w:rsidP="00AA3FB1">
      <w:pPr>
        <w:jc w:val="both"/>
      </w:pPr>
    </w:p>
    <w:sectPr w:rsidR="00516B59" w:rsidSect="00516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00408"/>
    <w:rsid w:val="004758A4"/>
    <w:rsid w:val="00516B59"/>
    <w:rsid w:val="00700408"/>
    <w:rsid w:val="00AA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04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8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yberleninka.ru/article/n/realizatsiya-mezhpredmetnyh-svyazey-na-urokah-himii/viewer" TargetMode="External"/><Relationship Id="rId5" Type="http://schemas.openxmlformats.org/officeDocument/2006/relationships/hyperlink" Target="https://uchitel.club/events/formirovanie-estestvennonauchnoy-gramotnosti-na-urokakh-khimii/" TargetMode="External"/><Relationship Id="rId4" Type="http://schemas.openxmlformats.org/officeDocument/2006/relationships/hyperlink" Target="https://www.edu54.ru/upload/iblock/86f/EG_Novosibirsk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1133</Words>
  <Characters>6462</Characters>
  <Application>Microsoft Office Word</Application>
  <DocSecurity>0</DocSecurity>
  <Lines>53</Lines>
  <Paragraphs>15</Paragraphs>
  <ScaleCrop>false</ScaleCrop>
  <Company>МОУ Цильнинская СШ</Company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пионерская</dc:creator>
  <cp:keywords/>
  <dc:description/>
  <cp:lastModifiedBy>пионерская</cp:lastModifiedBy>
  <cp:revision>2</cp:revision>
  <dcterms:created xsi:type="dcterms:W3CDTF">2022-09-06T11:00:00Z</dcterms:created>
  <dcterms:modified xsi:type="dcterms:W3CDTF">2022-09-06T11:05:00Z</dcterms:modified>
</cp:coreProperties>
</file>