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CFC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10092037">
      <w:pPr>
        <w:autoSpaceDE w:val="0"/>
        <w:autoSpaceDN w:val="0"/>
        <w:adjustRightInd w:val="0"/>
        <w:spacing w:after="0" w:line="240" w:lineRule="auto"/>
        <w:jc w:val="both"/>
        <w:rPr>
          <w:rFonts w:hint="default" w:eastAsia="Times New Roman"/>
          <w:b/>
          <w:bCs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bCs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  <w:t>УДК</w:t>
      </w:r>
      <w:r>
        <w:rPr>
          <w:rFonts w:hint="default" w:eastAsia="Times New Roman"/>
          <w:b/>
          <w:bCs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  <w:t xml:space="preserve"> 629.4</w:t>
      </w:r>
    </w:p>
    <w:p w14:paraId="148CD0AE">
      <w:pPr>
        <w:autoSpaceDE w:val="0"/>
        <w:autoSpaceDN w:val="0"/>
        <w:adjustRightInd w:val="0"/>
        <w:spacing w:after="0" w:line="240" w:lineRule="auto"/>
        <w:jc w:val="both"/>
        <w:rPr>
          <w:rFonts w:hint="default" w:eastAsia="Times New Roman"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</w:pPr>
    </w:p>
    <w:p w14:paraId="4C8A37FA">
      <w:pPr>
        <w:autoSpaceDE w:val="0"/>
        <w:autoSpaceDN w:val="0"/>
        <w:adjustRightInd w:val="0"/>
        <w:spacing w:after="0" w:line="240" w:lineRule="auto"/>
        <w:jc w:val="both"/>
        <w:rPr>
          <w:rFonts w:hint="default" w:eastAsia="Times New Roman"/>
          <w:i/>
          <w:iCs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  <w:t>Авторы</w:t>
      </w:r>
      <w:r>
        <w:rPr>
          <w:rFonts w:hint="default" w:eastAsia="Times New Roman"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eastAsia="Times New Roman"/>
          <w:i/>
          <w:iCs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  <w:t xml:space="preserve">Агеева М. М. </w:t>
      </w:r>
      <w:r>
        <w:rPr>
          <w:szCs w:val="28"/>
        </w:rPr>
        <w:t xml:space="preserve">– </w:t>
      </w:r>
      <w:r>
        <w:rPr>
          <w:rFonts w:hint="default" w:eastAsia="Times New Roman"/>
          <w:i/>
          <w:iCs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  <w:t>Преподаватель СП СПО ОТЖТ  - ОмГУПС, г. Омск;</w:t>
      </w:r>
    </w:p>
    <w:p w14:paraId="44155B90">
      <w:pPr>
        <w:autoSpaceDE w:val="0"/>
        <w:autoSpaceDN w:val="0"/>
        <w:adjustRightInd w:val="0"/>
        <w:spacing w:after="0" w:line="240" w:lineRule="auto"/>
        <w:jc w:val="both"/>
        <w:rPr>
          <w:rFonts w:hint="default" w:eastAsia="Times New Roman"/>
          <w:i/>
          <w:iCs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Times New Roman"/>
          <w:i/>
          <w:iCs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eastAsia="Times New Roman"/>
          <w:i/>
          <w:iCs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  <w:t xml:space="preserve">    Куцакина Е. А. </w:t>
      </w:r>
      <w:r>
        <w:rPr>
          <w:szCs w:val="28"/>
        </w:rPr>
        <w:t xml:space="preserve">– </w:t>
      </w:r>
      <w:r>
        <w:rPr>
          <w:rFonts w:hint="default" w:eastAsia="Times New Roman"/>
          <w:i/>
          <w:iCs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  <w:t xml:space="preserve">Студентка группы ДК-96ф-1 специальности 23.02.01 </w:t>
      </w:r>
      <w:r>
        <w:rPr>
          <w:rFonts w:hint="default" w:eastAsia="Times New Roman"/>
          <w:i/>
          <w:iCs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  <w:tab/>
        <w:t xml:space="preserve">    СП СПО ОТЖТ - ОмГУПС, г. Омск</w:t>
      </w:r>
    </w:p>
    <w:p w14:paraId="29FD5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eastAsia="Times New Roman"/>
          <w:color w:val="000000" w:themeColor="text1"/>
          <w:szCs w:val="28"/>
          <w:lang w:val="ru-RU" w:eastAsia="zh-CN"/>
          <w14:textFill>
            <w14:solidFill>
              <w14:schemeClr w14:val="tx1"/>
            </w14:solidFill>
          </w14:textFill>
        </w:rPr>
      </w:pPr>
    </w:p>
    <w:p w14:paraId="414AA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bCs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Пассажирский поезд на водородных топливных элементах</w:t>
      </w:r>
    </w:p>
    <w:p w14:paraId="7D0C1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 w14:paraId="75726AFC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>1</w:t>
      </w:r>
      <w:r>
        <w:rPr>
          <w:rFonts w:hint="default"/>
          <w:szCs w:val="28"/>
          <w:lang w:val="ru-RU"/>
        </w:rPr>
        <w:t>.</w:t>
      </w:r>
      <w:r>
        <w:rPr>
          <w:szCs w:val="28"/>
        </w:rPr>
        <w:t xml:space="preserve"> Первые разработки</w:t>
      </w:r>
    </w:p>
    <w:p w14:paraId="03729911">
      <w:pPr>
        <w:spacing w:after="0" w:line="240" w:lineRule="auto"/>
        <w:ind w:firstLine="685"/>
        <w:jc w:val="both"/>
        <w:rPr>
          <w:rFonts w:hint="default"/>
          <w:szCs w:val="28"/>
          <w:lang w:val="ru-RU"/>
        </w:rPr>
      </w:pPr>
      <w:r>
        <w:rPr>
          <w:szCs w:val="28"/>
        </w:rPr>
        <w:t xml:space="preserve">В России разрабатывается проект пассажирского поезда на водородных топливных элементах совместно с правительством Сахалинской области, </w:t>
      </w:r>
      <w:r>
        <w:rPr>
          <w:szCs w:val="28"/>
          <w:lang w:val="ru-RU"/>
        </w:rPr>
        <w:t>ОАО</w:t>
      </w:r>
      <w:r>
        <w:rPr>
          <w:rFonts w:hint="default"/>
          <w:szCs w:val="28"/>
          <w:lang w:val="ru-RU"/>
        </w:rPr>
        <w:t xml:space="preserve"> «</w:t>
      </w:r>
      <w:r>
        <w:rPr>
          <w:szCs w:val="28"/>
        </w:rPr>
        <w:t>РЖД</w:t>
      </w:r>
      <w:r>
        <w:rPr>
          <w:rFonts w:hint="default"/>
          <w:szCs w:val="28"/>
          <w:lang w:val="ru-RU"/>
        </w:rPr>
        <w:t>»</w:t>
      </w:r>
      <w:r>
        <w:rPr>
          <w:szCs w:val="28"/>
        </w:rPr>
        <w:t xml:space="preserve"> и «Росатомом».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В сентябре 2024 года «Трансмашхолдинг» представил концепцию водородного поезда. Планируется, что первый образец для испытаний появится в 2025 году, в 2026 году будут завершены испытания и сертификация поезда, а регулярные перевозки на пригородных маршрутах начнутся в 2028 году</w:t>
      </w:r>
      <w:r>
        <w:rPr>
          <w:rFonts w:hint="default"/>
          <w:szCs w:val="28"/>
          <w:lang w:val="ru-RU"/>
        </w:rPr>
        <w:t>.</w:t>
      </w:r>
    </w:p>
    <w:p w14:paraId="6E63C610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>Проектируется два варианта поезда:</w:t>
      </w:r>
    </w:p>
    <w:p w14:paraId="3E94DDC8">
      <w:pPr>
        <w:spacing w:after="0" w:line="240" w:lineRule="auto"/>
        <w:ind w:left="9" w:leftChars="0" w:firstLine="676" w:firstLineChars="0"/>
        <w:jc w:val="both"/>
        <w:rPr>
          <w:szCs w:val="28"/>
        </w:rPr>
      </w:pPr>
      <w:r>
        <w:rPr>
          <w:szCs w:val="28"/>
        </w:rPr>
        <w:t>а) двухвагонный – в составе будут два головных вагона и бустерная секция, в которой установят силовые установки и накопители энергии (максимальная вместимость до 551 человек);</w:t>
      </w:r>
    </w:p>
    <w:p w14:paraId="3C862B62">
      <w:pPr>
        <w:spacing w:after="0" w:line="240" w:lineRule="auto"/>
        <w:ind w:left="9" w:leftChars="0" w:firstLine="676" w:firstLineChars="0"/>
        <w:jc w:val="both"/>
        <w:rPr>
          <w:szCs w:val="28"/>
        </w:rPr>
      </w:pPr>
      <w:r>
        <w:rPr>
          <w:szCs w:val="28"/>
        </w:rPr>
        <w:t>б) трехвагонный – добавится промежуточный вагон. При необходимости составы можно будет объединить (максимальная вместимость до 875 человек) [</w:t>
      </w:r>
      <w:r>
        <w:rPr>
          <w:rFonts w:hint="default"/>
          <w:szCs w:val="28"/>
          <w:lang w:val="ru-RU"/>
        </w:rPr>
        <w:t>1</w:t>
      </w:r>
      <w:r>
        <w:rPr>
          <w:szCs w:val="28"/>
        </w:rPr>
        <w:t>].</w:t>
      </w:r>
    </w:p>
    <w:p w14:paraId="70B5E647">
      <w:pPr>
        <w:spacing w:after="0" w:line="240" w:lineRule="auto"/>
        <w:ind w:firstLine="685"/>
        <w:rPr>
          <w:szCs w:val="28"/>
        </w:rPr>
      </w:pPr>
    </w:p>
    <w:p w14:paraId="26BB29C4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>2</w:t>
      </w:r>
      <w:r>
        <w:rPr>
          <w:rFonts w:hint="default"/>
          <w:szCs w:val="28"/>
          <w:lang w:val="ru-RU"/>
        </w:rPr>
        <w:t>.</w:t>
      </w:r>
      <w:r>
        <w:rPr>
          <w:szCs w:val="28"/>
        </w:rPr>
        <w:t xml:space="preserve"> Характеристики </w:t>
      </w:r>
    </w:p>
    <w:p w14:paraId="01B1323A">
      <w:pPr>
        <w:spacing w:after="0" w:line="240" w:lineRule="auto"/>
        <w:ind w:firstLine="685"/>
        <w:jc w:val="both"/>
        <w:rPr>
          <w:rFonts w:hint="default"/>
          <w:szCs w:val="28"/>
          <w:lang w:val="ru-RU"/>
        </w:rPr>
      </w:pPr>
      <w:r>
        <w:rPr>
          <w:szCs w:val="28"/>
        </w:rPr>
        <w:t xml:space="preserve">Запас хода </w:t>
      </w:r>
      <w:r>
        <w:rPr>
          <w:szCs w:val="28"/>
          <w:lang w:val="ru-RU"/>
        </w:rPr>
        <w:t>д</w:t>
      </w:r>
      <w:r>
        <w:rPr>
          <w:szCs w:val="28"/>
        </w:rPr>
        <w:t xml:space="preserve">ля трехвагонного поезда </w:t>
      </w:r>
      <w:r>
        <w:rPr>
          <w:szCs w:val="28"/>
          <w:lang w:val="ru-RU"/>
        </w:rPr>
        <w:t>составит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487 км на водороде и 40 км на накопителях энергии, для двухвагонного — 725 км на водороде и 80 км на накопител</w:t>
      </w:r>
      <w:r>
        <w:rPr>
          <w:szCs w:val="28"/>
          <w:lang w:val="ru-RU"/>
        </w:rPr>
        <w:t>ьных</w:t>
      </w:r>
      <w:r>
        <w:rPr>
          <w:rFonts w:hint="default"/>
          <w:szCs w:val="28"/>
          <w:lang w:val="ru-RU"/>
        </w:rPr>
        <w:t xml:space="preserve"> элементах.</w:t>
      </w:r>
    </w:p>
    <w:p w14:paraId="1348DC18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>Низкопольная конструкция</w:t>
      </w:r>
      <w:r>
        <w:rPr>
          <w:rFonts w:hint="default"/>
          <w:szCs w:val="28"/>
          <w:lang w:val="ru-RU"/>
        </w:rPr>
        <w:t xml:space="preserve"> и р</w:t>
      </w:r>
      <w:r>
        <w:rPr>
          <w:szCs w:val="28"/>
        </w:rPr>
        <w:t>егулируемый уровень пола в районе входных дверей сделает посадку и высадку удобной как с низких, так и со средних платформ.</w:t>
      </w:r>
    </w:p>
    <w:p w14:paraId="17D85E6E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>Водородный электропоезд минимум в два раза дороже по капитальным и эксплуатационным затратам, чем составы на традиционном топливе — дизеле или газе. Это объясняется высокой стоимостью топливных элементов и особенностями водорода как топлива.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 xml:space="preserve">Но на протяжении жизненного цикла (от выпуска до утилизации с учётом ремонтов) локомотив на водороде будет на 5–7% дешевле, чем на традиционном топливе. Это объяснялось тем, что водородный двигатель технически более простой и требует менее частого обслуживания.  </w:t>
      </w:r>
    </w:p>
    <w:p w14:paraId="2EFC7E19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 xml:space="preserve">Локомотив на водороде на протяжении своего жизненного цикла (от выпуска до утилизации с </w:t>
      </w:r>
      <w:r>
        <w:rPr>
          <w:szCs w:val="28"/>
          <w:lang w:val="ru-RU"/>
        </w:rPr>
        <w:t>учётом</w:t>
      </w:r>
      <w:r>
        <w:rPr>
          <w:szCs w:val="28"/>
        </w:rPr>
        <w:t xml:space="preserve"> ремонтов) будет на 5–7% дешевле, чем на традиционном топливе – дизеле или газе. Это связано с тем, что водородный двигатель технически более простой и требует менее частого обслуживания.</w:t>
      </w:r>
    </w:p>
    <w:p w14:paraId="216EC503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>По оценкам Института исследования проблем железнодорожного транспорта</w:t>
      </w:r>
      <w:r>
        <w:rPr>
          <w:rFonts w:hint="default"/>
          <w:szCs w:val="28"/>
          <w:lang w:val="ru-RU"/>
        </w:rPr>
        <w:t xml:space="preserve"> (</w:t>
      </w:r>
      <w:r>
        <w:rPr>
          <w:szCs w:val="28"/>
        </w:rPr>
        <w:t xml:space="preserve">ООО </w:t>
      </w:r>
      <w:r>
        <w:rPr>
          <w:rFonts w:hint="default"/>
          <w:szCs w:val="28"/>
          <w:lang w:val="ru-RU"/>
        </w:rPr>
        <w:t>«</w:t>
      </w:r>
      <w:r>
        <w:rPr>
          <w:szCs w:val="28"/>
        </w:rPr>
        <w:t>ИИЖД</w:t>
      </w:r>
      <w:r>
        <w:rPr>
          <w:rFonts w:hint="default"/>
          <w:szCs w:val="28"/>
          <w:lang w:val="ru-RU"/>
        </w:rPr>
        <w:t>»)</w:t>
      </w:r>
      <w:r>
        <w:rPr>
          <w:szCs w:val="28"/>
        </w:rPr>
        <w:t>, при среднем сроке эксплуатации в 45–55 лет один магистральный дизельный локомотив обходится</w:t>
      </w:r>
      <w:r>
        <w:rPr>
          <w:rFonts w:hint="default"/>
          <w:szCs w:val="28"/>
          <w:lang w:val="ru-RU"/>
        </w:rPr>
        <w:t xml:space="preserve"> ОАО</w:t>
      </w:r>
      <w:r>
        <w:rPr>
          <w:szCs w:val="28"/>
        </w:rPr>
        <w:t xml:space="preserve"> </w:t>
      </w:r>
      <w:r>
        <w:rPr>
          <w:rFonts w:hint="default"/>
          <w:szCs w:val="28"/>
          <w:lang w:val="ru-RU"/>
        </w:rPr>
        <w:t>«</w:t>
      </w:r>
      <w:r>
        <w:rPr>
          <w:szCs w:val="28"/>
        </w:rPr>
        <w:t>РЖД</w:t>
      </w:r>
      <w:r>
        <w:rPr>
          <w:rFonts w:hint="default"/>
          <w:szCs w:val="28"/>
          <w:lang w:val="ru-RU"/>
        </w:rPr>
        <w:t>»</w:t>
      </w:r>
      <w:r>
        <w:rPr>
          <w:szCs w:val="28"/>
        </w:rPr>
        <w:t xml:space="preserve"> с </w:t>
      </w:r>
      <w:r>
        <w:rPr>
          <w:szCs w:val="28"/>
          <w:lang w:val="ru-RU"/>
        </w:rPr>
        <w:t>учётом</w:t>
      </w:r>
      <w:r>
        <w:rPr>
          <w:szCs w:val="28"/>
        </w:rPr>
        <w:t xml:space="preserve"> текущих ремонтов примерно в 550–650 млн руб</w:t>
      </w:r>
      <w:r>
        <w:rPr>
          <w:szCs w:val="28"/>
          <w:lang w:val="ru-RU"/>
        </w:rPr>
        <w:t>лей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[</w:t>
      </w:r>
      <w:r>
        <w:rPr>
          <w:rFonts w:hint="default"/>
          <w:szCs w:val="28"/>
          <w:lang w:val="ru-RU"/>
        </w:rPr>
        <w:t>2</w:t>
      </w:r>
      <w:r>
        <w:rPr>
          <w:szCs w:val="28"/>
        </w:rPr>
        <w:t>].</w:t>
      </w:r>
    </w:p>
    <w:p w14:paraId="552DE256">
      <w:pPr>
        <w:spacing w:after="0" w:line="240" w:lineRule="auto"/>
        <w:ind w:firstLine="685"/>
        <w:rPr>
          <w:szCs w:val="28"/>
        </w:rPr>
      </w:pPr>
    </w:p>
    <w:p w14:paraId="1666C9E2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>3</w:t>
      </w:r>
      <w:r>
        <w:rPr>
          <w:rFonts w:hint="default"/>
          <w:szCs w:val="28"/>
          <w:lang w:val="ru-RU"/>
        </w:rPr>
        <w:t>.</w:t>
      </w:r>
      <w:r>
        <w:rPr>
          <w:szCs w:val="28"/>
        </w:rPr>
        <w:t xml:space="preserve"> Оборудование </w:t>
      </w:r>
    </w:p>
    <w:p w14:paraId="70A45EA0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>Для обеспечения безопасности и комфорта поезд будет оборудован системами видеонаблюдения и связи «Пассажир</w:t>
      </w:r>
      <w:r>
        <w:rPr>
          <w:rFonts w:hint="default"/>
          <w:szCs w:val="28"/>
          <w:lang w:val="ru-RU"/>
        </w:rPr>
        <w:t>-</w:t>
      </w:r>
      <w:r>
        <w:rPr>
          <w:szCs w:val="28"/>
        </w:rPr>
        <w:t>машинист», информационны</w:t>
      </w:r>
      <w:r>
        <w:rPr>
          <w:rFonts w:hint="default"/>
          <w:szCs w:val="28"/>
          <w:lang w:val="ru-RU"/>
        </w:rPr>
        <w:t>-</w:t>
      </w:r>
      <w:r>
        <w:rPr>
          <w:szCs w:val="28"/>
        </w:rPr>
        <w:t>ми дисплеями и розетками.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Пассажирский салон оборудуют эргономичными креслами и широкими межвагонными переходами</w:t>
      </w:r>
      <w:r>
        <w:rPr>
          <w:rFonts w:hint="default"/>
          <w:szCs w:val="28"/>
          <w:lang w:val="ru-RU"/>
        </w:rPr>
        <w:t>, дополнительно планируется оснастить системами очищения воздуха и питьевой воды</w:t>
      </w:r>
      <w:r>
        <w:rPr>
          <w:szCs w:val="28"/>
        </w:rPr>
        <w:t>.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В головном вагоне дверные проёмы будут оборудованы подъёмниками для инвалидных колясок, а в салоне выделены места для инвалидов.</w:t>
      </w:r>
    </w:p>
    <w:p w14:paraId="7EB77348">
      <w:pPr>
        <w:spacing w:after="0" w:line="240" w:lineRule="auto"/>
        <w:ind w:firstLine="720" w:firstLineChars="0"/>
        <w:jc w:val="both"/>
        <w:rPr>
          <w:szCs w:val="28"/>
        </w:rPr>
      </w:pPr>
      <w:r>
        <w:rPr>
          <w:szCs w:val="28"/>
        </w:rPr>
        <w:t>Преимущества поездов</w:t>
      </w:r>
      <w:r>
        <w:rPr>
          <w:rFonts w:hint="default"/>
          <w:szCs w:val="28"/>
          <w:lang w:val="ru-RU"/>
        </w:rPr>
        <w:t xml:space="preserve"> на </w:t>
      </w:r>
      <w:r>
        <w:rPr>
          <w:szCs w:val="28"/>
        </w:rPr>
        <w:t xml:space="preserve">водородных </w:t>
      </w:r>
      <w:r>
        <w:rPr>
          <w:szCs w:val="28"/>
          <w:lang w:val="ru-RU"/>
        </w:rPr>
        <w:t>топливных</w:t>
      </w:r>
      <w:r>
        <w:rPr>
          <w:rFonts w:hint="default"/>
          <w:szCs w:val="28"/>
          <w:lang w:val="ru-RU"/>
        </w:rPr>
        <w:t xml:space="preserve"> элементах</w:t>
      </w:r>
      <w:r>
        <w:rPr>
          <w:szCs w:val="28"/>
        </w:rPr>
        <w:t>:</w:t>
      </w:r>
    </w:p>
    <w:p w14:paraId="67FF3AAA">
      <w:pPr>
        <w:spacing w:after="0" w:line="240" w:lineRule="auto"/>
        <w:ind w:left="9" w:leftChars="0" w:firstLine="700" w:firstLineChars="250"/>
        <w:jc w:val="both"/>
        <w:rPr>
          <w:szCs w:val="28"/>
        </w:rPr>
      </w:pPr>
      <w:r>
        <w:rPr>
          <w:szCs w:val="28"/>
        </w:rPr>
        <w:t>а) нулевые выбросы – поскольку водородные поезда работают на водородных топливных элементах, они производят нулевые выбросы. Это делает их экологически чистым видом транспорта;</w:t>
      </w:r>
    </w:p>
    <w:p w14:paraId="14337CE6">
      <w:pPr>
        <w:spacing w:after="0" w:line="240" w:lineRule="auto"/>
        <w:ind w:left="9" w:leftChars="0" w:firstLine="700" w:firstLineChars="250"/>
        <w:jc w:val="both"/>
        <w:rPr>
          <w:szCs w:val="28"/>
        </w:rPr>
      </w:pPr>
      <w:r>
        <w:rPr>
          <w:szCs w:val="28"/>
        </w:rPr>
        <w:t>б) бесшумность – поезда на водороде работают тише дизельных, что делает их идеальными для городских районов;</w:t>
      </w:r>
    </w:p>
    <w:p w14:paraId="738AB2C5">
      <w:pPr>
        <w:spacing w:after="0" w:line="240" w:lineRule="auto"/>
        <w:ind w:left="9" w:leftChars="0" w:firstLine="700" w:firstLineChars="250"/>
        <w:jc w:val="both"/>
        <w:rPr>
          <w:szCs w:val="28"/>
        </w:rPr>
      </w:pPr>
      <w:r>
        <w:rPr>
          <w:szCs w:val="28"/>
        </w:rPr>
        <w:t>в) высокая эффективность – водородные поезда отличаются высокой эффективностью, поскольку они с высокой степенью отдачи преобразуют водород в электричество;</w:t>
      </w:r>
    </w:p>
    <w:p w14:paraId="69F80CAF">
      <w:pPr>
        <w:spacing w:after="0" w:line="240" w:lineRule="auto"/>
        <w:ind w:left="9" w:leftChars="0" w:firstLine="700" w:firstLineChars="250"/>
        <w:jc w:val="both"/>
        <w:rPr>
          <w:szCs w:val="28"/>
        </w:rPr>
      </w:pPr>
      <w:r>
        <w:rPr>
          <w:szCs w:val="28"/>
        </w:rPr>
        <w:t>г) дальность действия – водородные поезда имеют больший радиус действия, чем поезда, работающие на батарейках, поскольку они могут накапливать больше энергии в меньшем пространстве. Благодаря накопителям энергии поезд сможет в случае отказа силовой установки продолжать движение на расстояние до 80 километров.</w:t>
      </w:r>
    </w:p>
    <w:p w14:paraId="5AB0F316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 xml:space="preserve">Применение топливных элементов означает переход к использованию гибридной схемы тягового привода. При этом если посмотреть характеристики топливных элементов, то, согласно </w:t>
      </w:r>
      <w:r>
        <w:rPr>
          <w:szCs w:val="28"/>
          <w:lang w:val="ru-RU"/>
        </w:rPr>
        <w:t>проведённым</w:t>
      </w:r>
      <w:r>
        <w:rPr>
          <w:szCs w:val="28"/>
        </w:rPr>
        <w:t xml:space="preserve"> </w:t>
      </w:r>
      <w:r>
        <w:rPr>
          <w:szCs w:val="28"/>
          <w:lang w:val="ru-RU"/>
        </w:rPr>
        <w:t>расчётам</w:t>
      </w:r>
      <w:r>
        <w:rPr>
          <w:szCs w:val="28"/>
        </w:rPr>
        <w:t xml:space="preserve">, минимальная мощность такого элемента должна составлять 130 кВт, но должен быть </w:t>
      </w:r>
      <w:r>
        <w:rPr>
          <w:szCs w:val="28"/>
          <w:lang w:val="ru-RU"/>
        </w:rPr>
        <w:t>определённый</w:t>
      </w:r>
      <w:r>
        <w:rPr>
          <w:szCs w:val="28"/>
        </w:rPr>
        <w:t xml:space="preserve"> запас 150–160 кВт. Участники проекта готовы произвести подобный продукт. Не стоит забывать и о накопителе энергии, его эффективная </w:t>
      </w:r>
      <w:r>
        <w:rPr>
          <w:szCs w:val="28"/>
          <w:lang w:val="ru-RU"/>
        </w:rPr>
        <w:t>ёмкость</w:t>
      </w:r>
      <w:r>
        <w:rPr>
          <w:szCs w:val="28"/>
        </w:rPr>
        <w:t xml:space="preserve"> может составить от 20 до 22 кВт*ч.</w:t>
      </w:r>
    </w:p>
    <w:p w14:paraId="66CCC48A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 xml:space="preserve">Годовой расход дизельного топлива современным рельсовым автобусом (РА-З) составляет 893,4 тонны, а выбросы в окружающую среду достигают 67 тонн. Годовой расход водорода В поездом составит 223,4 тонны, в то время как выбросы в окружающую среду </w:t>
      </w:r>
      <w:r>
        <w:rPr>
          <w:szCs w:val="28"/>
          <w:lang w:val="ru-RU"/>
        </w:rPr>
        <w:t>практически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будут равны нулю [</w:t>
      </w:r>
      <w:r>
        <w:rPr>
          <w:rFonts w:hint="default"/>
          <w:szCs w:val="28"/>
          <w:lang w:val="ru-RU"/>
        </w:rPr>
        <w:t>1</w:t>
      </w:r>
      <w:r>
        <w:rPr>
          <w:szCs w:val="28"/>
        </w:rPr>
        <w:t>].</w:t>
      </w:r>
    </w:p>
    <w:p w14:paraId="4F854CB5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>Переход к водороду и его применение в топливных элементах позволит сформировать совершенно другой технологический уклад. Дело в том, что такие топливные элементы не имеют ни клапанов, ни коленчатых валов. Это, по сути, химический источник энергии, у которого на входе есть водород и воздух, а на выходе — электричество.</w:t>
      </w:r>
    </w:p>
    <w:p w14:paraId="462C1C66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>Преимущество данной технологии в том, что</w:t>
      </w:r>
      <w:r>
        <w:rPr>
          <w:rFonts w:hint="default"/>
          <w:szCs w:val="28"/>
          <w:lang w:val="ru-RU"/>
        </w:rPr>
        <w:t xml:space="preserve"> уменьшается</w:t>
      </w:r>
      <w:r>
        <w:rPr>
          <w:szCs w:val="28"/>
        </w:rPr>
        <w:t xml:space="preserve"> </w:t>
      </w:r>
      <w:r>
        <w:rPr>
          <w:szCs w:val="28"/>
          <w:lang w:val="ru-RU"/>
        </w:rPr>
        <w:t>эксплуатация</w:t>
      </w:r>
      <w:r>
        <w:rPr>
          <w:rFonts w:hint="default"/>
          <w:szCs w:val="28"/>
          <w:lang w:val="ru-RU"/>
        </w:rPr>
        <w:t xml:space="preserve"> и </w:t>
      </w:r>
      <w:r>
        <w:rPr>
          <w:szCs w:val="28"/>
        </w:rPr>
        <w:t>обслуживани</w:t>
      </w:r>
      <w:r>
        <w:rPr>
          <w:szCs w:val="28"/>
          <w:lang w:val="ru-RU"/>
        </w:rPr>
        <w:t>е</w:t>
      </w:r>
      <w:r>
        <w:rPr>
          <w:szCs w:val="28"/>
        </w:rPr>
        <w:t xml:space="preserve"> силовых установок</w:t>
      </w:r>
      <w:r>
        <w:rPr>
          <w:rFonts w:hint="default"/>
          <w:szCs w:val="28"/>
          <w:lang w:val="ru-RU"/>
        </w:rPr>
        <w:t>, и, соответственно,</w:t>
      </w:r>
      <w:r>
        <w:rPr>
          <w:szCs w:val="28"/>
        </w:rPr>
        <w:t xml:space="preserve"> существенно упрощае</w:t>
      </w:r>
      <w:r>
        <w:rPr>
          <w:szCs w:val="28"/>
          <w:lang w:val="ru-RU"/>
        </w:rPr>
        <w:t>тся</w:t>
      </w:r>
      <w:r>
        <w:rPr>
          <w:szCs w:val="28"/>
        </w:rPr>
        <w:t xml:space="preserve"> эксплуатацию </w:t>
      </w:r>
      <w:r>
        <w:rPr>
          <w:szCs w:val="28"/>
          <w:lang w:val="ru-RU"/>
        </w:rPr>
        <w:t>подвижного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>составов.</w:t>
      </w:r>
    </w:p>
    <w:p w14:paraId="56240EC5">
      <w:pPr>
        <w:spacing w:after="0" w:line="240" w:lineRule="auto"/>
        <w:ind w:firstLine="685"/>
        <w:jc w:val="both"/>
        <w:rPr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Использование водорода в качестве энергоносителя позволит, как существенно сократить потребление ископаемых углеводородных топлив, так и значительно продвинуться в решении экологической проблемы загрязнения атмосферы городов вредным</w:t>
      </w:r>
      <w:bookmarkStart w:id="0" w:name="_GoBack"/>
      <w:bookmarkEnd w:id="0"/>
      <w:r>
        <w:rPr>
          <w:color w:val="000000" w:themeColor="text1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и для здоровья человека составляющими выхлопных газов автомобилей и тепловозов.</w:t>
      </w:r>
    </w:p>
    <w:p w14:paraId="508E2B3B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 xml:space="preserve">Водородное топливо – самое оптимальное для пассажирского транспорта. Оно экологичное, поскольку выхлоп представляет собой водяной пар, возобновляемое, так как это самый </w:t>
      </w:r>
      <w:r>
        <w:rPr>
          <w:szCs w:val="28"/>
          <w:lang w:val="ru-RU"/>
        </w:rPr>
        <w:t>распространённый</w:t>
      </w:r>
      <w:r>
        <w:rPr>
          <w:szCs w:val="28"/>
        </w:rPr>
        <w:t xml:space="preserve"> элемент на планете, и по мощности может конкурировать с существующими видами энергии.</w:t>
      </w:r>
    </w:p>
    <w:p w14:paraId="52937636">
      <w:pPr>
        <w:spacing w:after="0" w:line="240" w:lineRule="auto"/>
        <w:ind w:firstLine="685"/>
        <w:jc w:val="both"/>
        <w:rPr>
          <w:szCs w:val="28"/>
        </w:rPr>
      </w:pPr>
      <w:r>
        <w:rPr>
          <w:szCs w:val="28"/>
        </w:rPr>
        <w:t>Водородные поезда предлагают экологичную и экологически чистую альтернативу традиционным дизельным поездам. Обладая нулевым уровнем выбросов и высокой эффективностью, они являются идеальным видом транспорта для городских районов [</w:t>
      </w:r>
      <w:r>
        <w:rPr>
          <w:rFonts w:hint="default"/>
          <w:szCs w:val="28"/>
          <w:lang w:val="ru-RU"/>
        </w:rPr>
        <w:t>2</w:t>
      </w:r>
      <w:r>
        <w:rPr>
          <w:szCs w:val="28"/>
        </w:rPr>
        <w:t>].</w:t>
      </w:r>
    </w:p>
    <w:p w14:paraId="4C975495">
      <w:pPr>
        <w:spacing w:after="0" w:line="240" w:lineRule="auto"/>
        <w:ind w:firstLine="685"/>
        <w:jc w:val="both"/>
        <w:rPr>
          <w:szCs w:val="28"/>
        </w:rPr>
      </w:pPr>
    </w:p>
    <w:p w14:paraId="0EFB044F">
      <w:pPr>
        <w:spacing w:after="0" w:line="240" w:lineRule="auto"/>
        <w:ind w:firstLine="685"/>
        <w:jc w:val="both"/>
        <w:rPr>
          <w:szCs w:val="28"/>
        </w:rPr>
      </w:pPr>
    </w:p>
    <w:p w14:paraId="497D9C18">
      <w:pPr>
        <w:spacing w:after="0" w:line="240" w:lineRule="auto"/>
        <w:ind w:firstLine="685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F7D9B2">
      <w:pPr>
        <w:spacing w:after="0" w:line="240" w:lineRule="auto"/>
        <w:ind w:firstLine="685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Список использованных источников</w:t>
      </w:r>
    </w:p>
    <w:p w14:paraId="465658BF">
      <w:pPr>
        <w:spacing w:after="0" w:line="240" w:lineRule="auto"/>
        <w:ind w:firstLine="685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8C9F8C">
      <w:pPr>
        <w:spacing w:after="0" w:line="240" w:lineRule="auto"/>
        <w:ind w:firstLine="685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A6A02EC">
      <w:pPr>
        <w:spacing w:after="0" w:line="240" w:lineRule="auto"/>
        <w:ind w:firstLine="685"/>
        <w:jc w:val="both"/>
        <w:rPr>
          <w:rFonts w:eastAsia="Times New Roman"/>
          <w:color w:val="000000" w:themeColor="text1"/>
          <w:sz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/>
          <w:szCs w:val="28"/>
          <w:lang w:eastAsia="ru-RU"/>
        </w:rPr>
        <w:t>1</w:t>
      </w:r>
      <w:r>
        <w:rPr>
          <w:rFonts w:hint="default" w:eastAsia="Times New Roman"/>
          <w:color w:val="000000"/>
          <w:szCs w:val="28"/>
          <w:lang w:val="en-US" w:eastAsia="ru-RU"/>
        </w:rPr>
        <w:t xml:space="preserve"> </w:t>
      </w:r>
      <w:r>
        <w:fldChar w:fldCharType="begin"/>
      </w:r>
      <w:r>
        <w:instrText xml:space="preserve"> HYPERLINK "https://www.rbc.ru/technology_and_media/02/10/2024/66fd35299a747b0b%20bf5db7f" </w:instrText>
      </w:r>
      <w:r>
        <w:fldChar w:fldCharType="separate"/>
      </w:r>
      <w:r>
        <w:rPr>
          <w:rStyle w:val="20"/>
          <w:color w:val="000000" w:themeColor="text1"/>
          <w:spacing w:val="-1"/>
          <w:szCs w:val="28"/>
          <w:u w:val="none"/>
          <w14:textFill>
            <w14:solidFill>
              <w14:schemeClr w14:val="tx1"/>
            </w14:solidFill>
          </w14:textFill>
        </w:rPr>
        <w:t>https://www.rbc.ru/technology_and_media/02/10/2024/66fd35299a747b0b bf5db7f</w:t>
      </w:r>
      <w:r>
        <w:rPr>
          <w:rStyle w:val="20"/>
          <w:color w:val="000000" w:themeColor="text1"/>
          <w:spacing w:val="-1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(дата и время обращения 25.05.2025 11 ч 30 мин).</w:t>
      </w:r>
    </w:p>
    <w:p w14:paraId="5E695724">
      <w:pPr>
        <w:spacing w:after="0" w:line="240" w:lineRule="auto"/>
        <w:ind w:firstLine="685"/>
        <w:jc w:val="both"/>
        <w:rPr>
          <w:rFonts w:eastAsia="Times New Roman"/>
          <w:color w:val="000000" w:themeColor="text1"/>
          <w:sz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eastAsia="Times New Roman"/>
          <w:color w:val="000000" w:themeColor="text1"/>
          <w:szCs w:val="28"/>
          <w:lang w:val="en-US" w:eastAsia="ru-RU"/>
          <w14:textFill>
            <w14:solidFill>
              <w14:schemeClr w14:val="tx1"/>
            </w14:solidFill>
          </w14:textFill>
        </w:rPr>
        <w:t>2</w:t>
      </w:r>
      <w:r>
        <w:rPr>
          <w:rFonts w:eastAsia="Times New Roman"/>
          <w:color w:val="000000" w:themeColor="text1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"https://vk.com/away.php?to=https%3A%2F%2Frg.ru%2F2024%2F10%2F03%2Freg-dfo%2Fpoezd-na-vodorodnoj-tiage-zapustiat-na-sahaline-cherez-dva-goda.html&amp;utf=1" \t "_blank" </w:instrText>
      </w:r>
      <w:r>
        <w:fldChar w:fldCharType="separate"/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t>https://rg.ru/2024/10/03/reg-dfo/poezd-na-vodorodnoj-tiage-zapustiat-na-sahaline-cherez-dva-goda.html</w:t>
      </w:r>
      <w:r>
        <w:rPr>
          <w:color w:val="000000" w:themeColor="text1"/>
          <w:spacing w:val="-1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Times New Roman"/>
          <w:color w:val="000000" w:themeColor="text1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(время обращения 025.05.2025 13 ч 40 мин).</w:t>
      </w:r>
    </w:p>
    <w:p w14:paraId="020D8701">
      <w:pPr>
        <w:rPr>
          <w:lang w:val="en-US"/>
        </w:rPr>
      </w:pPr>
    </w:p>
    <w:sectPr>
      <w:pgSz w:w="11906" w:h="16838"/>
      <w:pgMar w:top="1440" w:right="5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F648F7"/>
    <w:rsid w:val="0EBC03EE"/>
    <w:rsid w:val="14B84372"/>
    <w:rsid w:val="1B5D63F1"/>
    <w:rsid w:val="35397862"/>
    <w:rsid w:val="3D2E204C"/>
    <w:rsid w:val="682232BC"/>
    <w:rsid w:val="72E04D8D"/>
    <w:rsid w:val="73EE532A"/>
    <w:rsid w:val="742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EastAsia"/>
      <w:sz w:val="28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2024-11-09T16:16:00Z</dcterms:created>
  <dc:creator>Марина</dc:creator>
  <cp:lastModifiedBy>Марина</cp:lastModifiedBy>
  <dcterms:modified xsi:type="dcterms:W3CDTF">2025-06-22T12:55:24Z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AA7191DA33764D8185040562EE8F4FA2_12</vt:lpwstr>
  </property>
</Properties>
</file>