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6B2EE" w14:textId="77777777" w:rsidR="003C4254" w:rsidRDefault="003C4254" w:rsidP="00E33C7C">
      <w:pPr>
        <w:pStyle w:val="a3"/>
      </w:pPr>
      <w:r>
        <w:t>Влияние ИИ на деятельность государственных органов исполнительной власти</w:t>
      </w:r>
    </w:p>
    <w:p w14:paraId="7BBB0875" w14:textId="77777777" w:rsidR="00FA6EC4" w:rsidRDefault="00FA6EC4" w:rsidP="00FA6EC4"/>
    <w:p w14:paraId="514072F4" w14:textId="77777777" w:rsidR="00A45DC2" w:rsidRDefault="00A45DC2" w:rsidP="00A45DC2">
      <w:r w:rsidRPr="00A45DC2">
        <w:t>В настоящее время искусственный интеллект трансформирует различные сферы человеческой жизни. Государственный сектор также активно внедряет инновации. Интеграция ИИ в государственные структуры становится одной из ключевых тенденций современной цифровизации и способна решить целый ряд задач, таких как повышение эффективности оказания услуг, оперативность в принятии решений и прозрачность государственных процессов.</w:t>
      </w:r>
    </w:p>
    <w:p w14:paraId="3086DD9F" w14:textId="77777777" w:rsidR="00A45DC2" w:rsidRDefault="00A45DC2" w:rsidP="00A45DC2">
      <w:pPr>
        <w:rPr>
          <w:lang w:val="en-US"/>
        </w:rPr>
      </w:pPr>
      <w:r>
        <w:t>Развитие и применение ИИ в России носит системный характер, основанный на ряде ключевых документов:</w:t>
      </w:r>
    </w:p>
    <w:p w14:paraId="40F0F494" w14:textId="77777777" w:rsidR="00A40BBD" w:rsidRDefault="00A40BBD" w:rsidP="00A40BBD">
      <w:pPr>
        <w:rPr>
          <w:lang w:val="en-US" w:eastAsia="ru-RU"/>
        </w:rPr>
      </w:pPr>
      <w:r w:rsidRPr="00A40BBD">
        <w:rPr>
          <w:lang w:eastAsia="ru-RU"/>
        </w:rPr>
        <w:t>1</w:t>
      </w:r>
      <w:r>
        <w:rPr>
          <w:lang w:eastAsia="ru-RU"/>
        </w:rPr>
        <w:t>.</w:t>
      </w:r>
      <w:r>
        <w:rPr>
          <w:lang w:eastAsia="ru-RU"/>
        </w:rPr>
        <w:tab/>
      </w:r>
      <w:r w:rsidRPr="00FA6EC4">
        <w:rPr>
          <w:lang w:eastAsia="ru-RU"/>
        </w:rPr>
        <w:t>Федеральный закон "Об экспериментальных правовых режимах в сфере цифровых инноваций в Российской Федерации" от 31.07.2020 N 258-ФЗ</w:t>
      </w:r>
      <w:r>
        <w:rPr>
          <w:lang w:eastAsia="ru-RU"/>
        </w:rPr>
        <w:t>)</w:t>
      </w:r>
      <w:r w:rsidRPr="00A40BBD">
        <w:rPr>
          <w:lang w:eastAsia="ru-RU"/>
        </w:rPr>
        <w:t xml:space="preserve"> [</w:t>
      </w:r>
      <w:r>
        <w:rPr>
          <w:lang w:eastAsia="ru-RU"/>
        </w:rPr>
        <w:fldChar w:fldCharType="begin"/>
      </w:r>
      <w:r>
        <w:rPr>
          <w:lang w:eastAsia="ru-RU"/>
        </w:rPr>
        <w:instrText xml:space="preserve"> REF _Ref216353934 \r \h </w:instrText>
      </w:r>
      <w:r>
        <w:rPr>
          <w:lang w:eastAsia="ru-RU"/>
        </w:rPr>
      </w:r>
      <w:r>
        <w:rPr>
          <w:lang w:eastAsia="ru-RU"/>
        </w:rPr>
        <w:fldChar w:fldCharType="separate"/>
      </w:r>
      <w:r>
        <w:rPr>
          <w:lang w:eastAsia="ru-RU"/>
        </w:rPr>
        <w:t>1</w:t>
      </w:r>
      <w:r>
        <w:rPr>
          <w:lang w:eastAsia="ru-RU"/>
        </w:rPr>
        <w:fldChar w:fldCharType="end"/>
      </w:r>
      <w:r w:rsidRPr="00A40BBD">
        <w:rPr>
          <w:lang w:eastAsia="ru-RU"/>
        </w:rPr>
        <w:t>]</w:t>
      </w:r>
      <w:r>
        <w:rPr>
          <w:lang w:eastAsia="ru-RU"/>
        </w:rPr>
        <w:t>. Закон нацелен на развитие цифровой экономики путем устранения административных барьеров, препятствующих внедрению цифровых инноваций.</w:t>
      </w:r>
    </w:p>
    <w:p w14:paraId="76E3A71B" w14:textId="77777777" w:rsidR="00086EA8" w:rsidRPr="007D64B8" w:rsidRDefault="00086EA8" w:rsidP="00086EA8">
      <w:pPr>
        <w:rPr>
          <w:lang w:eastAsia="ru-RU"/>
        </w:rPr>
      </w:pPr>
      <w:r>
        <w:rPr>
          <w:lang w:eastAsia="ru-RU"/>
        </w:rPr>
        <w:t xml:space="preserve">Упомянутый Федеральный закон </w:t>
      </w:r>
      <w:r>
        <w:rPr>
          <w:shd w:val="clear" w:color="auto" w:fill="FFFFFF"/>
        </w:rPr>
        <w:t xml:space="preserve">распространяется на различные направления разработки, апробации и внедрения цифровых инноваций, среди которых медицинская деятельность, проектирование транспортных средств, сельское хозяйство, финансовый рынок и другие </w:t>
      </w:r>
      <w:r w:rsidRPr="00086EA8">
        <w:rPr>
          <w:shd w:val="clear" w:color="auto" w:fill="FFFFFF"/>
        </w:rPr>
        <w:t>[</w:t>
      </w:r>
      <w:r w:rsidR="00D85BF0">
        <w:rPr>
          <w:shd w:val="clear" w:color="auto" w:fill="FFFFFF"/>
        </w:rPr>
        <w:fldChar w:fldCharType="begin"/>
      </w:r>
      <w:r w:rsidR="00D85BF0">
        <w:rPr>
          <w:shd w:val="clear" w:color="auto" w:fill="FFFFFF"/>
        </w:rPr>
        <w:instrText xml:space="preserve"> REF _Ref216366731 \r \h </w:instrText>
      </w:r>
      <w:r w:rsidR="00D85BF0">
        <w:rPr>
          <w:shd w:val="clear" w:color="auto" w:fill="FFFFFF"/>
        </w:rPr>
      </w:r>
      <w:r w:rsidR="00D85BF0">
        <w:rPr>
          <w:shd w:val="clear" w:color="auto" w:fill="FFFFFF"/>
        </w:rPr>
        <w:fldChar w:fldCharType="separate"/>
      </w:r>
      <w:r w:rsidR="00D85BF0">
        <w:rPr>
          <w:shd w:val="clear" w:color="auto" w:fill="FFFFFF"/>
        </w:rPr>
        <w:t>12</w:t>
      </w:r>
      <w:r w:rsidR="00D85BF0">
        <w:rPr>
          <w:shd w:val="clear" w:color="auto" w:fill="FFFFFF"/>
        </w:rPr>
        <w:fldChar w:fldCharType="end"/>
      </w:r>
      <w:r w:rsidRPr="00086EA8">
        <w:rPr>
          <w:shd w:val="clear" w:color="auto" w:fill="FFFFFF"/>
        </w:rPr>
        <w:t>].</w:t>
      </w:r>
    </w:p>
    <w:p w14:paraId="168EB2BE" w14:textId="77777777" w:rsidR="00A45DC2" w:rsidRDefault="00A40BBD" w:rsidP="00A45DC2">
      <w:pPr>
        <w:rPr>
          <w:lang w:eastAsia="ru-RU"/>
        </w:rPr>
      </w:pPr>
      <w:r w:rsidRPr="00A40BBD">
        <w:t>2</w:t>
      </w:r>
      <w:r w:rsidR="00A45DC2">
        <w:t>.</w:t>
      </w:r>
      <w:r w:rsidR="00A45DC2">
        <w:tab/>
      </w:r>
      <w:r w:rsidR="00A45DC2">
        <w:rPr>
          <w:lang w:eastAsia="ru-RU"/>
        </w:rPr>
        <w:t>Национальная стратегия</w:t>
      </w:r>
      <w:r w:rsidR="00A45DC2" w:rsidRPr="00FA6EC4">
        <w:rPr>
          <w:lang w:eastAsia="ru-RU"/>
        </w:rPr>
        <w:t xml:space="preserve"> развития искусственного интеллекта на период до 2030 года"</w:t>
      </w:r>
      <w:r w:rsidR="00A45DC2">
        <w:rPr>
          <w:lang w:eastAsia="ru-RU"/>
        </w:rPr>
        <w:t xml:space="preserve"> (Указ Президента </w:t>
      </w:r>
      <w:r w:rsidR="00A45DC2">
        <w:rPr>
          <w:lang w:val="en-US" w:eastAsia="ru-RU"/>
        </w:rPr>
        <w:t>N</w:t>
      </w:r>
      <w:r w:rsidR="00A45DC2" w:rsidRPr="00A45DC2">
        <w:rPr>
          <w:lang w:eastAsia="ru-RU"/>
        </w:rPr>
        <w:t xml:space="preserve"> </w:t>
      </w:r>
      <w:r w:rsidR="00A45DC2">
        <w:rPr>
          <w:lang w:eastAsia="ru-RU"/>
        </w:rPr>
        <w:t>490 от 10.10.2019)</w:t>
      </w:r>
      <w:r w:rsidRPr="00A40BBD">
        <w:rPr>
          <w:lang w:eastAsia="ru-RU"/>
        </w:rPr>
        <w:t xml:space="preserve"> [</w:t>
      </w:r>
      <w:r>
        <w:rPr>
          <w:lang w:eastAsia="ru-RU"/>
        </w:rPr>
        <w:fldChar w:fldCharType="begin"/>
      </w:r>
      <w:r>
        <w:rPr>
          <w:lang w:eastAsia="ru-RU"/>
        </w:rPr>
        <w:instrText xml:space="preserve"> REF _Ref216353864 \r \h </w:instrText>
      </w:r>
      <w:r>
        <w:rPr>
          <w:lang w:eastAsia="ru-RU"/>
        </w:rPr>
      </w:r>
      <w:r>
        <w:rPr>
          <w:lang w:eastAsia="ru-RU"/>
        </w:rPr>
        <w:fldChar w:fldCharType="separate"/>
      </w:r>
      <w:r>
        <w:rPr>
          <w:lang w:eastAsia="ru-RU"/>
        </w:rPr>
        <w:t>2</w:t>
      </w:r>
      <w:r>
        <w:rPr>
          <w:lang w:eastAsia="ru-RU"/>
        </w:rPr>
        <w:fldChar w:fldCharType="end"/>
      </w:r>
      <w:r w:rsidRPr="00A40BBD">
        <w:rPr>
          <w:lang w:eastAsia="ru-RU"/>
        </w:rPr>
        <w:t>]</w:t>
      </w:r>
      <w:r w:rsidR="00A45DC2">
        <w:rPr>
          <w:lang w:eastAsia="ru-RU"/>
        </w:rPr>
        <w:t xml:space="preserve">. </w:t>
      </w:r>
      <w:r>
        <w:rPr>
          <w:lang w:eastAsia="ru-RU"/>
        </w:rPr>
        <w:t xml:space="preserve">Документ </w:t>
      </w:r>
      <w:r w:rsidR="00F037C1">
        <w:rPr>
          <w:lang w:eastAsia="ru-RU"/>
        </w:rPr>
        <w:t>определяет цели и задачи, включая создание условий для внедрения ИИ в разные государственные структуры.</w:t>
      </w:r>
    </w:p>
    <w:p w14:paraId="7B6BE721" w14:textId="77777777" w:rsidR="00F037C1" w:rsidRDefault="00A40BBD" w:rsidP="00F037C1">
      <w:pPr>
        <w:rPr>
          <w:lang w:val="en-US" w:eastAsia="ru-RU"/>
        </w:rPr>
      </w:pPr>
      <w:r>
        <w:rPr>
          <w:lang w:eastAsia="ru-RU"/>
        </w:rPr>
        <w:t>Зульфугарзаде Т. Э., Першина Ю. О. отмечают, что этот Указ Президента «является ключевым документом высокого уровня, регулирующим вопросы ИИ на период до 2030 года»</w:t>
      </w:r>
      <w:r w:rsidR="00086EA8" w:rsidRPr="00086EA8">
        <w:rPr>
          <w:lang w:eastAsia="ru-RU"/>
        </w:rPr>
        <w:t xml:space="preserve"> [</w:t>
      </w:r>
      <w:r w:rsidR="00D85BF0">
        <w:rPr>
          <w:lang w:eastAsia="ru-RU"/>
        </w:rPr>
        <w:fldChar w:fldCharType="begin"/>
      </w:r>
      <w:r w:rsidR="00D85BF0">
        <w:rPr>
          <w:lang w:eastAsia="ru-RU"/>
        </w:rPr>
        <w:instrText xml:space="preserve"> REF _Ref216368928 \r \h </w:instrText>
      </w:r>
      <w:r w:rsidR="00D85BF0">
        <w:rPr>
          <w:lang w:eastAsia="ru-RU"/>
        </w:rPr>
      </w:r>
      <w:r w:rsidR="00D85BF0">
        <w:rPr>
          <w:lang w:eastAsia="ru-RU"/>
        </w:rPr>
        <w:fldChar w:fldCharType="separate"/>
      </w:r>
      <w:r w:rsidR="00D85BF0">
        <w:rPr>
          <w:lang w:eastAsia="ru-RU"/>
        </w:rPr>
        <w:t>7</w:t>
      </w:r>
      <w:r w:rsidR="00D85BF0">
        <w:rPr>
          <w:lang w:eastAsia="ru-RU"/>
        </w:rPr>
        <w:fldChar w:fldCharType="end"/>
      </w:r>
      <w:r w:rsidR="00086EA8" w:rsidRPr="00086EA8">
        <w:rPr>
          <w:lang w:eastAsia="ru-RU"/>
        </w:rPr>
        <w:t>]</w:t>
      </w:r>
      <w:r>
        <w:rPr>
          <w:lang w:eastAsia="ru-RU"/>
        </w:rPr>
        <w:t xml:space="preserve">. В Стратегии дается определение искусственного интеллекта и говорится о поддержке организаций-разработчиков технологий ИИ и различных научных исследований и разработок в сфере </w:t>
      </w:r>
      <w:r>
        <w:rPr>
          <w:lang w:val="en-US" w:eastAsia="ru-RU"/>
        </w:rPr>
        <w:t>IT</w:t>
      </w:r>
      <w:r>
        <w:rPr>
          <w:lang w:eastAsia="ru-RU"/>
        </w:rPr>
        <w:t>.</w:t>
      </w:r>
    </w:p>
    <w:p w14:paraId="758EE175" w14:textId="77777777" w:rsidR="007434C3" w:rsidRDefault="007434C3" w:rsidP="00F037C1">
      <w:pPr>
        <w:rPr>
          <w:lang w:eastAsia="ru-RU"/>
        </w:rPr>
      </w:pPr>
      <w:r>
        <w:rPr>
          <w:lang w:eastAsia="ru-RU"/>
        </w:rPr>
        <w:t xml:space="preserve">Никогда Ю. Г. </w:t>
      </w:r>
      <w:r w:rsidRPr="007434C3">
        <w:rPr>
          <w:lang w:eastAsia="ru-RU"/>
        </w:rPr>
        <w:t>[</w:t>
      </w:r>
      <w:r w:rsidR="00D85BF0">
        <w:rPr>
          <w:lang w:eastAsia="ru-RU"/>
        </w:rPr>
        <w:fldChar w:fldCharType="begin"/>
      </w:r>
      <w:r w:rsidR="00D85BF0">
        <w:rPr>
          <w:lang w:eastAsia="ru-RU"/>
        </w:rPr>
        <w:instrText xml:space="preserve"> REF _Ref216368937 \r \h </w:instrText>
      </w:r>
      <w:r w:rsidR="00D85BF0">
        <w:rPr>
          <w:lang w:eastAsia="ru-RU"/>
        </w:rPr>
      </w:r>
      <w:r w:rsidR="00D85BF0">
        <w:rPr>
          <w:lang w:eastAsia="ru-RU"/>
        </w:rPr>
        <w:fldChar w:fldCharType="separate"/>
      </w:r>
      <w:r w:rsidR="00D85BF0">
        <w:rPr>
          <w:lang w:eastAsia="ru-RU"/>
        </w:rPr>
        <w:t>8</w:t>
      </w:r>
      <w:r w:rsidR="00D85BF0">
        <w:rPr>
          <w:lang w:eastAsia="ru-RU"/>
        </w:rPr>
        <w:fldChar w:fldCharType="end"/>
      </w:r>
      <w:r w:rsidRPr="007434C3">
        <w:rPr>
          <w:lang w:eastAsia="ru-RU"/>
        </w:rPr>
        <w:t>] в своей работе указывает на семь областей при</w:t>
      </w:r>
      <w:r>
        <w:rPr>
          <w:lang w:eastAsia="ru-RU"/>
        </w:rPr>
        <w:t>менения, составляющих основу ИИ:</w:t>
      </w:r>
    </w:p>
    <w:p w14:paraId="056C4B1B" w14:textId="77777777" w:rsidR="007434C3" w:rsidRPr="007434C3" w:rsidRDefault="007434C3" w:rsidP="007434C3">
      <w:r w:rsidRPr="007434C3">
        <w:t>1.</w:t>
      </w:r>
      <w:r w:rsidRPr="007434C3">
        <w:tab/>
        <w:t>Big Data (большие данные и работа с ними) – основа для деятельности ИИ, «служащая «топливом» для обучения моделей ИИ».</w:t>
      </w:r>
    </w:p>
    <w:p w14:paraId="2689F931" w14:textId="77777777" w:rsidR="007434C3" w:rsidRPr="007434C3" w:rsidRDefault="007434C3" w:rsidP="007434C3">
      <w:r w:rsidRPr="007434C3">
        <w:t>2.</w:t>
      </w:r>
      <w:r w:rsidRPr="007434C3">
        <w:tab/>
        <w:t>Компьютерное зрение – это область ИИ, связанная с анализом изображений и видео.</w:t>
      </w:r>
    </w:p>
    <w:p w14:paraId="162990FD" w14:textId="77777777" w:rsidR="007434C3" w:rsidRPr="007434C3" w:rsidRDefault="007434C3" w:rsidP="007434C3">
      <w:r w:rsidRPr="007434C3">
        <w:t>3.</w:t>
      </w:r>
      <w:r w:rsidRPr="007434C3">
        <w:tab/>
        <w:t>Обработка естественного языка (Natural Language Processing), поиск и извлечение информации из текстов.</w:t>
      </w:r>
    </w:p>
    <w:p w14:paraId="53ABF8A0" w14:textId="77777777" w:rsidR="007434C3" w:rsidRPr="007434C3" w:rsidRDefault="007434C3" w:rsidP="007434C3">
      <w:r w:rsidRPr="007434C3">
        <w:t>4.</w:t>
      </w:r>
      <w:r w:rsidRPr="007434C3">
        <w:tab/>
        <w:t>Распознавание и синтез речи — это раздел компьютерной лингвистики, отвечающий за разработку методов и технологий, которые позволяют использовать компьютер для распознавания и перевода разговорного языка в текст.</w:t>
      </w:r>
    </w:p>
    <w:p w14:paraId="076DED3E" w14:textId="77777777" w:rsidR="007434C3" w:rsidRPr="007434C3" w:rsidRDefault="007434C3" w:rsidP="007434C3">
      <w:r w:rsidRPr="007434C3">
        <w:t>5.</w:t>
      </w:r>
      <w:r w:rsidRPr="007434C3">
        <w:tab/>
        <w:t>Машинное зрение — это применение компьютерного зрения в производстве и промышленности.</w:t>
      </w:r>
    </w:p>
    <w:p w14:paraId="1F331235" w14:textId="77777777" w:rsidR="007434C3" w:rsidRPr="007434C3" w:rsidRDefault="007434C3" w:rsidP="007434C3">
      <w:r w:rsidRPr="007434C3">
        <w:t>6.</w:t>
      </w:r>
      <w:r w:rsidRPr="007434C3">
        <w:tab/>
        <w:t>Генерация текстов – модели, предназначенные для прогнозирования значений своих будущих входных данных.</w:t>
      </w:r>
    </w:p>
    <w:p w14:paraId="054E34F4" w14:textId="77777777" w:rsidR="007434C3" w:rsidRDefault="007434C3" w:rsidP="007434C3">
      <w:r w:rsidRPr="007434C3">
        <w:t>7.</w:t>
      </w:r>
      <w:r w:rsidRPr="007434C3">
        <w:tab/>
        <w:t>Системы поддержки принятия решений (СППР) — это комплексные программы, разработанные с целью улучшения качества и скорости принятия решений.</w:t>
      </w:r>
    </w:p>
    <w:p w14:paraId="245222E0" w14:textId="77777777" w:rsidR="00A73EDB" w:rsidRPr="00E6771A" w:rsidRDefault="007923D1" w:rsidP="005713C9">
      <w:r w:rsidRPr="007923D1">
        <w:t>Газета «Коммерсантъ» опубликовала результаты исследования Высшей школы госуправления РАНХиГС.</w:t>
      </w:r>
      <w:r w:rsidR="00EC4C1A">
        <w:t xml:space="preserve"> Исследование было посвящено мониторингу готовности внедрения ИИ </w:t>
      </w:r>
      <w:r w:rsidR="005713C9">
        <w:t>в работ</w:t>
      </w:r>
      <w:r w:rsidR="00E6771A">
        <w:t xml:space="preserve">у органов исполнительной власти </w:t>
      </w:r>
      <w:r w:rsidR="00E6771A" w:rsidRPr="00E6771A">
        <w:t>[</w:t>
      </w:r>
      <w:r w:rsidR="00E6771A">
        <w:fldChar w:fldCharType="begin"/>
      </w:r>
      <w:r w:rsidR="00E6771A">
        <w:instrText xml:space="preserve"> REF _Ref216365542 \r \h </w:instrText>
      </w:r>
      <w:r w:rsidR="00E6771A">
        <w:fldChar w:fldCharType="separate"/>
      </w:r>
      <w:r w:rsidR="00E6771A">
        <w:t>13</w:t>
      </w:r>
      <w:r w:rsidR="00E6771A">
        <w:fldChar w:fldCharType="end"/>
      </w:r>
      <w:r w:rsidR="00E6771A" w:rsidRPr="00E6771A">
        <w:t>].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3EDB" w14:paraId="5F153E15" w14:textId="77777777" w:rsidTr="00E33C7C">
        <w:tc>
          <w:tcPr>
            <w:tcW w:w="9571" w:type="dxa"/>
            <w:vAlign w:val="center"/>
          </w:tcPr>
          <w:p w14:paraId="7E10A19F" w14:textId="77777777" w:rsidR="00A73EDB" w:rsidRDefault="00A73EDB" w:rsidP="00A73EDB">
            <w:pPr>
              <w:ind w:firstLine="0"/>
              <w:jc w:val="center"/>
              <w:rPr>
                <w:lang w:val="en-US"/>
              </w:rPr>
            </w:pPr>
            <w:r w:rsidRPr="00A73EDB">
              <w:rPr>
                <w:noProof/>
                <w:lang w:val="en-US"/>
              </w:rPr>
              <w:drawing>
                <wp:inline distT="0" distB="0" distL="0" distR="0" wp14:anchorId="151981EB" wp14:editId="0E99DE7B">
                  <wp:extent cx="1862028" cy="3338945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190" cy="3341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FB8611" w14:textId="77777777" w:rsidR="005713C9" w:rsidRPr="007923D1" w:rsidRDefault="005713C9" w:rsidP="005713C9">
      <w:r w:rsidRPr="007923D1">
        <w:t>Согласно результатам,</w:t>
      </w:r>
      <w:r>
        <w:t xml:space="preserve"> в деятельности госорганов применяются все перечисленные виды технологий ИИ. Из них </w:t>
      </w:r>
      <w:r w:rsidRPr="007923D1">
        <w:t xml:space="preserve">более трети (35%) — это рекомендательные системы и поддержка принятия решений, почти четверть (24%) — компьютерное зрение и примерно столько же (23%) — обработка естественного языка. Гораздо реже (6%) </w:t>
      </w:r>
      <w:r>
        <w:t xml:space="preserve">органы исполнительной власти применяют </w:t>
      </w:r>
      <w:r w:rsidRPr="007923D1">
        <w:t>технологии распознавания и синтеза речи.</w:t>
      </w:r>
    </w:p>
    <w:p w14:paraId="68531D3B" w14:textId="77777777" w:rsidR="005713C9" w:rsidRDefault="005713C9" w:rsidP="005713C9">
      <w:r w:rsidRPr="007923D1">
        <w:t xml:space="preserve">Регулярное внедрение ИИ-решений в госорганах началось в 2018 году и падает после 2022-го. Чаще всего они применяются для мониторинга и контроля, в том числе для первичной обработки и контроля качества данных поднадзорных организаций (33% решений). Системы для улучшения принятия решений, автоматизации рутинных задач и взаимодействия с гражданами занимают 20%, 17% и 16% соответственно. На повышение точности и скорости работы сотрудников </w:t>
      </w:r>
      <w:r w:rsidR="00E6771A">
        <w:t xml:space="preserve">госорганов </w:t>
      </w:r>
      <w:r w:rsidRPr="007923D1">
        <w:t>направлены 8% ИИ-решений, еще 6% — на иные цели.</w:t>
      </w:r>
    </w:p>
    <w:p w14:paraId="57953F37" w14:textId="77777777" w:rsidR="00F720B5" w:rsidRPr="00E6771A" w:rsidRDefault="00E33C7C" w:rsidP="00F720B5">
      <w:r>
        <w:t>Другие исследования показывают</w:t>
      </w:r>
      <w:r w:rsidR="0077002C">
        <w:t xml:space="preserve">, что в России практика </w:t>
      </w:r>
      <w:r w:rsidR="00D0126B">
        <w:t>внедрения ИИ в государственное</w:t>
      </w:r>
      <w:r w:rsidR="0077002C">
        <w:t xml:space="preserve"> управление </w:t>
      </w:r>
      <w:r w:rsidR="00D0126B">
        <w:t xml:space="preserve">показывает положительный результат. Многие сервисы (например, «Госуслуги» и «Цифровое правительство») оптимизированы на оказание государственных услуг в электронном виде </w:t>
      </w:r>
      <w:r w:rsidR="00D0126B" w:rsidRPr="00D0126B">
        <w:t>[</w:t>
      </w:r>
      <w:r w:rsidR="00D85BF0">
        <w:fldChar w:fldCharType="begin"/>
      </w:r>
      <w:r w:rsidR="00D85BF0">
        <w:instrText xml:space="preserve"> REF _Ref216356381 \r \h </w:instrText>
      </w:r>
      <w:r w:rsidR="00D85BF0">
        <w:fldChar w:fldCharType="separate"/>
      </w:r>
      <w:r w:rsidR="00D85BF0">
        <w:t>3</w:t>
      </w:r>
      <w:r w:rsidR="00D85BF0">
        <w:fldChar w:fldCharType="end"/>
      </w:r>
      <w:r w:rsidR="00D0126B" w:rsidRPr="00D0126B">
        <w:t>].</w:t>
      </w:r>
    </w:p>
    <w:p w14:paraId="13A71892" w14:textId="77777777" w:rsidR="00B6144B" w:rsidRPr="00E6771A" w:rsidRDefault="00B6144B" w:rsidP="00F720B5">
      <w:r w:rsidRPr="00B6144B">
        <w:t>Сейчас ИИ активно используется для обработки обращений граждан, документооборота, прогнозирования и аналитики, контроля исполнения поручений, а также мониторинга публикаций и социальных сетей, его возможности примен</w:t>
      </w:r>
      <w:r>
        <w:t>яются в системах «умный город»</w:t>
      </w:r>
      <w:r w:rsidRPr="00B6144B">
        <w:t xml:space="preserve"> [</w:t>
      </w:r>
      <w:r w:rsidR="00E6771A">
        <w:fldChar w:fldCharType="begin"/>
      </w:r>
      <w:r w:rsidR="00E6771A">
        <w:instrText xml:space="preserve"> REF _Ref216365542 \r \h </w:instrText>
      </w:r>
      <w:r w:rsidR="00E6771A">
        <w:fldChar w:fldCharType="separate"/>
      </w:r>
      <w:r w:rsidR="00E6771A">
        <w:t>13</w:t>
      </w:r>
      <w:r w:rsidR="00E6771A">
        <w:fldChar w:fldCharType="end"/>
      </w:r>
      <w:r w:rsidRPr="00B6144B">
        <w:t>].</w:t>
      </w:r>
    </w:p>
    <w:p w14:paraId="0C66489F" w14:textId="77777777" w:rsidR="00F720B5" w:rsidRPr="00E6771A" w:rsidRDefault="00F720B5" w:rsidP="00F720B5">
      <w:r w:rsidRPr="00F720B5">
        <w:t>Для снижения нагрузки на судей и аппарат судов перспективным направлением является внедрение технологий ИИ. Как отмечает С.И. Варлакова, некоторые суды уже используют возможности ИИ для распознавания устной речи и перевода ее в текстовый вариант протокола судебного заседания, поиска нормативных правовых актов, составления кратких изложений процессуальных документов и проектов судебных приказов. Однако важно подчеркнуть, что «внедрение практики использования искусственного интеллекта в деятельность судов возможно, однако только лишь в части решения "служебных" задач», поскольку правосудие должно осуществляться естественным интеллектом [</w:t>
      </w:r>
      <w:r w:rsidR="00D85BF0">
        <w:fldChar w:fldCharType="begin"/>
      </w:r>
      <w:r w:rsidR="00D85BF0">
        <w:instrText xml:space="preserve"> REF _Ref216365976 \r \h </w:instrText>
      </w:r>
      <w:r w:rsidR="00D85BF0">
        <w:fldChar w:fldCharType="separate"/>
      </w:r>
      <w:r w:rsidR="00D85BF0">
        <w:t>4</w:t>
      </w:r>
      <w:r w:rsidR="00D85BF0">
        <w:fldChar w:fldCharType="end"/>
      </w:r>
      <w:r w:rsidRPr="00F720B5">
        <w:t>].</w:t>
      </w:r>
    </w:p>
    <w:p w14:paraId="4AFCBC59" w14:textId="77777777" w:rsidR="00F720B5" w:rsidRDefault="00F720B5" w:rsidP="00F720B5">
      <w:r>
        <w:t xml:space="preserve">На данном этапе в адвокатской деятельности </w:t>
      </w:r>
      <w:r w:rsidR="007D64B8">
        <w:t xml:space="preserve">отсутствуют глобальные и успешные </w:t>
      </w:r>
      <w:r w:rsidR="007D64B8">
        <w:rPr>
          <w:lang w:val="en-US"/>
        </w:rPr>
        <w:t>IT</w:t>
      </w:r>
      <w:r w:rsidR="007D64B8">
        <w:t>-решения, которые могли бы стать прецедентном. Несмотря на то, что в статье говорилось об успешном опыте применения ИИ в разных сферах, все же существует проблема несовершенства ИИ на практике.</w:t>
      </w:r>
    </w:p>
    <w:p w14:paraId="5CD29233" w14:textId="77777777" w:rsidR="007D64B8" w:rsidRDefault="007D64B8" w:rsidP="007D64B8">
      <w:r>
        <w:t xml:space="preserve">Например, </w:t>
      </w:r>
      <w:r w:rsidR="00F720B5">
        <w:t xml:space="preserve">на данном этапе в адвокатской деятельности </w:t>
      </w:r>
      <w:r>
        <w:t>д</w:t>
      </w:r>
      <w:r w:rsidR="00F720B5">
        <w:t xml:space="preserve">ля решения некоторых </w:t>
      </w:r>
      <w:r>
        <w:t xml:space="preserve">внутренних </w:t>
      </w:r>
      <w:r w:rsidR="00F720B5">
        <w:t>частных задач вышеуказанной проблемы российской компанией ООО «Нейрорешения» разрабатывается специальное программное обеспечение - «АРМ Адвокатское производство», включающее перспективный ИИ-модуль распознавания и аннотации речи для семантического подбора нормативных правовых актов и автоматизированного формирования отдельных</w:t>
      </w:r>
      <w:r>
        <w:t xml:space="preserve"> документов в це</w:t>
      </w:r>
      <w:r w:rsidR="00F720B5">
        <w:t>ля</w:t>
      </w:r>
      <w:r>
        <w:t xml:space="preserve">х выстраивания правовой позиции. </w:t>
      </w:r>
    </w:p>
    <w:p w14:paraId="153F8FA3" w14:textId="77777777" w:rsidR="00F720B5" w:rsidRDefault="00F720B5" w:rsidP="007D64B8">
      <w:r>
        <w:t xml:space="preserve">Указанное программное обеспечение позволит посредством применения методов искусственного интеллекта автоматизировать некоторые рутинные задачи в деятельности адвоката. В 2025 г. проект поддержан грантом </w:t>
      </w:r>
      <w:r w:rsidR="00E6771A">
        <w:t>от Фонда содействия инновациям.</w:t>
      </w:r>
    </w:p>
    <w:p w14:paraId="42762347" w14:textId="77777777" w:rsidR="00F720B5" w:rsidRPr="00F720B5" w:rsidRDefault="00E6771A" w:rsidP="00F720B5">
      <w:r>
        <w:t>Об этом</w:t>
      </w:r>
      <w:r w:rsidRPr="00E6771A">
        <w:t xml:space="preserve"> </w:t>
      </w:r>
      <w:r>
        <w:t xml:space="preserve">нововведении сообщают в своем труде авторы </w:t>
      </w:r>
      <w:r w:rsidRPr="007D64B8">
        <w:t xml:space="preserve">Голенищев </w:t>
      </w:r>
      <w:r>
        <w:t>Э. П., Фатхи В. И. [</w:t>
      </w:r>
      <w:r>
        <w:fldChar w:fldCharType="begin"/>
      </w:r>
      <w:r>
        <w:instrText xml:space="preserve"> REF _Ref216367242 \r \h </w:instrText>
      </w:r>
      <w:r>
        <w:fldChar w:fldCharType="separate"/>
      </w:r>
      <w:r>
        <w:t>5</w:t>
      </w:r>
      <w:r>
        <w:fldChar w:fldCharType="end"/>
      </w:r>
      <w:r>
        <w:t>].</w:t>
      </w:r>
    </w:p>
    <w:p w14:paraId="49342413" w14:textId="77777777" w:rsidR="00F720B5" w:rsidRPr="00B6144B" w:rsidRDefault="00F720B5" w:rsidP="00B6144B">
      <w:r>
        <w:t>Все эти возможные варианты использования ИИ в деятельности госорганов значительно сокращают объем работы и позволяют сэкономить достаточно времени. Эта тенденция позитивно отразится на дальнейшем использовании ИИ в работе различных силовых структур.</w:t>
      </w:r>
    </w:p>
    <w:p w14:paraId="7058B91A" w14:textId="77777777" w:rsidR="00B6144B" w:rsidRPr="00B6144B" w:rsidRDefault="00B6144B" w:rsidP="00B6144B">
      <w:r w:rsidRPr="00B6144B">
        <w:t>Важным аспектом является то, что в государственном управлении цели применения ИИ — не только оптимизация процессов, но и повышение прозрачности и эффективности принятия решений. Это одна из ключевых проблем использования систем ИИ в государственном управлении.</w:t>
      </w:r>
    </w:p>
    <w:p w14:paraId="16C2103C" w14:textId="77777777" w:rsidR="00D0126B" w:rsidRDefault="00F720B5" w:rsidP="0077002C">
      <w:r>
        <w:t xml:space="preserve">По этой причине стоит </w:t>
      </w:r>
      <w:r w:rsidR="00D0126B">
        <w:t xml:space="preserve">подробнее </w:t>
      </w:r>
      <w:r>
        <w:t xml:space="preserve">рассмотреть </w:t>
      </w:r>
      <w:r w:rsidR="00D0126B">
        <w:t>статистику применения ИИ в России и ее регионах.</w:t>
      </w:r>
    </w:p>
    <w:p w14:paraId="2DF595F4" w14:textId="77777777" w:rsidR="00D0126B" w:rsidRPr="00D0126B" w:rsidRDefault="00D0126B" w:rsidP="0077002C">
      <w:r>
        <w:rPr>
          <w:noProof/>
          <w:lang w:eastAsia="ru-RU"/>
        </w:rPr>
        <w:drawing>
          <wp:inline distT="0" distB="0" distL="0" distR="0" wp14:anchorId="3FF8BA73" wp14:editId="4415963C">
            <wp:extent cx="4518660" cy="2029022"/>
            <wp:effectExtent l="0" t="0" r="0" b="9525"/>
            <wp:docPr id="1" name="Рисунок 1" descr=" Динамика внедрения ИИ в регионы РФ, 2019-2025 (прогнозный) г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Динамика внедрения ИИ в регионы РФ, 2019-2025 (прогнозный) гг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277" cy="203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68868" w14:textId="77777777" w:rsidR="00D0126B" w:rsidRDefault="00D0126B" w:rsidP="0077002C">
      <w:r>
        <w:t>На примере проведенного исследования автором Тахумовой О. В.</w:t>
      </w:r>
      <w:r w:rsidR="00E6771A">
        <w:t xml:space="preserve"> </w:t>
      </w:r>
      <w:r w:rsidR="00E6771A" w:rsidRPr="00E6771A">
        <w:t>[</w:t>
      </w:r>
      <w:r w:rsidR="00D85BF0">
        <w:rPr>
          <w:lang w:val="en-US"/>
        </w:rPr>
        <w:fldChar w:fldCharType="begin"/>
      </w:r>
      <w:r w:rsidR="00D85BF0">
        <w:instrText xml:space="preserve"> REF _Ref216367300 \r \h </w:instrText>
      </w:r>
      <w:r w:rsidR="00D85BF0">
        <w:rPr>
          <w:lang w:val="en-US"/>
        </w:rPr>
      </w:r>
      <w:r w:rsidR="00D85BF0">
        <w:rPr>
          <w:lang w:val="en-US"/>
        </w:rPr>
        <w:fldChar w:fldCharType="separate"/>
      </w:r>
      <w:r w:rsidR="00D85BF0">
        <w:t>9</w:t>
      </w:r>
      <w:r w:rsidR="00D85BF0">
        <w:rPr>
          <w:lang w:val="en-US"/>
        </w:rPr>
        <w:fldChar w:fldCharType="end"/>
      </w:r>
      <w:r w:rsidR="00E6771A" w:rsidRPr="00E6771A">
        <w:t>]</w:t>
      </w:r>
      <w:r>
        <w:t xml:space="preserve"> </w:t>
      </w:r>
      <w:r w:rsidR="00E6771A">
        <w:t>м</w:t>
      </w:r>
      <w:r>
        <w:t>ожно делать следующие выводы:</w:t>
      </w:r>
    </w:p>
    <w:p w14:paraId="612BE4A8" w14:textId="77777777" w:rsidR="00D0126B" w:rsidRDefault="00D0126B" w:rsidP="0077002C">
      <w:r>
        <w:t>За последние три года (2019-2023 г.) количество регионов, использующих в</w:t>
      </w:r>
      <w:r w:rsidR="00463389">
        <w:t xml:space="preserve"> работе своих исполнительных органов ИИ, увеличилось до 12. Автором был сделан вывод о том, что к 2025 г. прогнозируется внедрение ИИ в 45% в субъектах РФ.</w:t>
      </w:r>
    </w:p>
    <w:p w14:paraId="6BEFE9EE" w14:textId="77777777" w:rsidR="00463389" w:rsidRDefault="00463389" w:rsidP="0077002C">
      <w:r>
        <w:t>Тахумова О. В. говорит о том, что такое наблюдение свидетельствует о продвижении в процессе использования субъектами</w:t>
      </w:r>
      <w:r w:rsidR="00895E12">
        <w:t xml:space="preserve"> РФ</w:t>
      </w:r>
      <w:r>
        <w:t xml:space="preserve"> ИИ</w:t>
      </w:r>
      <w:r w:rsidR="00E6771A" w:rsidRPr="00E6771A">
        <w:t xml:space="preserve"> [</w:t>
      </w:r>
      <w:r w:rsidR="00E6771A">
        <w:fldChar w:fldCharType="begin"/>
      </w:r>
      <w:r w:rsidR="00E6771A">
        <w:instrText xml:space="preserve"> REF _Ref216367300 \r \h </w:instrText>
      </w:r>
      <w:r w:rsidR="00E6771A">
        <w:fldChar w:fldCharType="separate"/>
      </w:r>
      <w:r w:rsidR="00E6771A">
        <w:t>9</w:t>
      </w:r>
      <w:r w:rsidR="00E6771A">
        <w:fldChar w:fldCharType="end"/>
      </w:r>
      <w:r w:rsidR="00E6771A" w:rsidRPr="00E6771A">
        <w:t>]</w:t>
      </w:r>
      <w:r w:rsidR="00895E12">
        <w:t>.</w:t>
      </w:r>
    </w:p>
    <w:p w14:paraId="6DEE34B0" w14:textId="77777777" w:rsidR="00895E12" w:rsidRDefault="00895E12" w:rsidP="00895E12">
      <w:r w:rsidRPr="00895E12">
        <w:t>И, действительно, этот показатель растет.</w:t>
      </w:r>
    </w:p>
    <w:p w14:paraId="66682D0F" w14:textId="77777777" w:rsidR="00895E12" w:rsidRPr="00895E12" w:rsidRDefault="00895E12" w:rsidP="00895E12">
      <w:r w:rsidRPr="00895E12">
        <w:t xml:space="preserve">В 2024 г. премьер-министра РФ Михаил Мишустин объявил, что «за последние два года (2023-2024) средний уровень использования ИИ в отраслях экономики и </w:t>
      </w:r>
      <w:r>
        <w:t xml:space="preserve">госуправления вырос в 1,5 раза» </w:t>
      </w:r>
      <w:r w:rsidRPr="00895E12">
        <w:t>[</w:t>
      </w:r>
      <w:r w:rsidR="00D85BF0">
        <w:fldChar w:fldCharType="begin"/>
      </w:r>
      <w:r w:rsidR="00D85BF0">
        <w:instrText xml:space="preserve"> REF _Ref216358893 \r \h </w:instrText>
      </w:r>
      <w:r w:rsidR="00D85BF0">
        <w:fldChar w:fldCharType="separate"/>
      </w:r>
      <w:r w:rsidR="00D85BF0">
        <w:t>11</w:t>
      </w:r>
      <w:r w:rsidR="00D85BF0">
        <w:fldChar w:fldCharType="end"/>
      </w:r>
      <w:r w:rsidRPr="00895E12">
        <w:t>].</w:t>
      </w:r>
    </w:p>
    <w:p w14:paraId="459592A8" w14:textId="77777777" w:rsidR="00895E12" w:rsidRDefault="00895E12" w:rsidP="005B6A29">
      <w:r w:rsidRPr="005B6A29">
        <w:t xml:space="preserve">Актуальным и перспективным инструментов для развития ИИ в стране является федеральный проект «Искусственный интеллект», стартовавший в 2021 г. </w:t>
      </w:r>
      <w:r w:rsidR="005B6A29" w:rsidRPr="005B6A29">
        <w:t xml:space="preserve">Благодаря этому проекту, в ИИ планируется вложение 24,6 млрд. руб. </w:t>
      </w:r>
      <w:r w:rsidR="00A45013">
        <w:t>на протяжении последую</w:t>
      </w:r>
      <w:r w:rsidR="005B6A29" w:rsidRPr="005B6A29">
        <w:t xml:space="preserve">щих четырех лет. Об этом сообщила </w:t>
      </w:r>
      <w:r w:rsidRPr="005B6A29">
        <w:t>директор по маркетингу и PR-группы IT-к</w:t>
      </w:r>
      <w:r w:rsidR="005B6A29">
        <w:t xml:space="preserve">омпаний «Юзтех» Мария Николаева </w:t>
      </w:r>
      <w:r w:rsidR="005B6A29" w:rsidRPr="00895E12">
        <w:t>[</w:t>
      </w:r>
      <w:r w:rsidR="005B6A29">
        <w:fldChar w:fldCharType="begin"/>
      </w:r>
      <w:r w:rsidR="005B6A29">
        <w:instrText xml:space="preserve"> REF _Ref216358893 \r \h </w:instrText>
      </w:r>
      <w:r w:rsidR="005B6A29">
        <w:fldChar w:fldCharType="separate"/>
      </w:r>
      <w:r w:rsidR="005B6A29">
        <w:t>10</w:t>
      </w:r>
      <w:r w:rsidR="005B6A29">
        <w:fldChar w:fldCharType="end"/>
      </w:r>
      <w:r w:rsidR="005B6A29" w:rsidRPr="00895E12">
        <w:t>].</w:t>
      </w:r>
      <w:r w:rsidR="00A45013">
        <w:t xml:space="preserve"> Затем в 2023 г. было объявлено о перезапуске ряда программ федерального проекта «Искусственный интеллект», и помимо перезапуска будет осуществлен отбор исследовательских центров для решения прикалыдных задач в сфере ИИ.</w:t>
      </w:r>
    </w:p>
    <w:p w14:paraId="16281AB0" w14:textId="77777777" w:rsidR="00C067E2" w:rsidRDefault="005B6A29" w:rsidP="00C067E2">
      <w:r>
        <w:t xml:space="preserve">Тахумова О. В. </w:t>
      </w:r>
      <w:r w:rsidR="00E6771A" w:rsidRPr="00E6771A">
        <w:t>[</w:t>
      </w:r>
      <w:r w:rsidR="00E6771A">
        <w:fldChar w:fldCharType="begin"/>
      </w:r>
      <w:r w:rsidR="00E6771A">
        <w:instrText xml:space="preserve"> REF _Ref216367300 \r \h </w:instrText>
      </w:r>
      <w:r w:rsidR="00E6771A">
        <w:fldChar w:fldCharType="separate"/>
      </w:r>
      <w:r w:rsidR="00E6771A">
        <w:t>9</w:t>
      </w:r>
      <w:r w:rsidR="00E6771A">
        <w:fldChar w:fldCharType="end"/>
      </w:r>
      <w:r w:rsidR="00E6771A" w:rsidRPr="00E6771A">
        <w:t xml:space="preserve">] </w:t>
      </w:r>
      <w:r>
        <w:t xml:space="preserve">в своей работе представила таблицу с итогами </w:t>
      </w:r>
      <w:r w:rsidRPr="005B6A29">
        <w:t>реализации Федерального проекта РФ «Искусственный интеллект»</w:t>
      </w:r>
      <w:r w:rsidR="00C067E2"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45013" w14:paraId="2F279EA4" w14:textId="77777777" w:rsidTr="00A45013">
        <w:trPr>
          <w:trHeight w:val="4053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14:paraId="1B949BBF" w14:textId="77777777" w:rsidR="00A45013" w:rsidRDefault="00A45013" w:rsidP="00C067E2">
            <w:pPr>
              <w:ind w:firstLine="0"/>
            </w:pPr>
            <w:r w:rsidRPr="005B6A29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B314814" wp14:editId="7CA6D74B">
                  <wp:simplePos x="0" y="0"/>
                  <wp:positionH relativeFrom="margin">
                    <wp:posOffset>-52070</wp:posOffset>
                  </wp:positionH>
                  <wp:positionV relativeFrom="margin">
                    <wp:posOffset>17780</wp:posOffset>
                  </wp:positionV>
                  <wp:extent cx="6054725" cy="2500630"/>
                  <wp:effectExtent l="0" t="0" r="3175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4725" cy="250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</w:tbl>
    <w:p w14:paraId="1DFDD285" w14:textId="77777777" w:rsidR="00C067E2" w:rsidRDefault="00C067E2" w:rsidP="00A45013">
      <w:r>
        <w:t>Можно сделать вывод о том, что за последние пять лет отмечается рост развития ИИ в России:</w:t>
      </w:r>
    </w:p>
    <w:p w14:paraId="2D820319" w14:textId="77777777" w:rsidR="00C067E2" w:rsidRDefault="00C067E2" w:rsidP="00C067E2">
      <w:pPr>
        <w:rPr>
          <w:lang w:eastAsia="ru-RU"/>
        </w:rPr>
      </w:pPr>
      <w:r>
        <w:rPr>
          <w:lang w:eastAsia="ru-RU"/>
        </w:rPr>
        <w:t>-</w:t>
      </w:r>
      <w:r>
        <w:rPr>
          <w:lang w:eastAsia="ru-RU"/>
        </w:rPr>
        <w:tab/>
        <w:t>заметно у</w:t>
      </w:r>
      <w:r w:rsidRPr="00C067E2">
        <w:rPr>
          <w:lang w:eastAsia="ru-RU"/>
        </w:rPr>
        <w:t>величение числа специалистов, подготовленных в рамках программ</w:t>
      </w:r>
      <w:r>
        <w:rPr>
          <w:lang w:eastAsia="ru-RU"/>
        </w:rPr>
        <w:t xml:space="preserve"> </w:t>
      </w:r>
      <w:r w:rsidRPr="00C067E2">
        <w:rPr>
          <w:lang w:eastAsia="ru-RU"/>
        </w:rPr>
        <w:t xml:space="preserve">высшего и дополнительного образования, — с 650 человек </w:t>
      </w:r>
      <w:r>
        <w:rPr>
          <w:lang w:eastAsia="ru-RU"/>
        </w:rPr>
        <w:t>в 2020 году до 2128 в 2023 году;</w:t>
      </w:r>
    </w:p>
    <w:p w14:paraId="6FBD9432" w14:textId="77777777" w:rsidR="00C067E2" w:rsidRDefault="00C067E2" w:rsidP="00C067E2">
      <w:pPr>
        <w:rPr>
          <w:lang w:eastAsia="ru-RU"/>
        </w:rPr>
      </w:pPr>
      <w:r>
        <w:rPr>
          <w:lang w:eastAsia="ru-RU"/>
        </w:rPr>
        <w:t>-</w:t>
      </w:r>
      <w:r>
        <w:rPr>
          <w:lang w:eastAsia="ru-RU"/>
        </w:rPr>
        <w:tab/>
        <w:t>за последние несколько лет заметно возросло количество специалистов (более 11 тыс.) в области ИИ, количество выданных грантов для высших учебных заведений на обучение и повышение квалификации преподавателей;</w:t>
      </w:r>
    </w:p>
    <w:p w14:paraId="56EB3241" w14:textId="77777777" w:rsidR="00C067E2" w:rsidRDefault="00C067E2" w:rsidP="00C067E2">
      <w:pPr>
        <w:rPr>
          <w:lang w:eastAsia="ru-RU"/>
        </w:rPr>
      </w:pPr>
      <w:r>
        <w:rPr>
          <w:lang w:eastAsia="ru-RU"/>
        </w:rPr>
        <w:t>-</w:t>
      </w:r>
      <w:r>
        <w:rPr>
          <w:lang w:eastAsia="ru-RU"/>
        </w:rPr>
        <w:tab/>
      </w:r>
      <w:r w:rsidR="00AD3200">
        <w:rPr>
          <w:lang w:eastAsia="ru-RU"/>
        </w:rPr>
        <w:t xml:space="preserve">почти 3 000 компаниям-разработчикам ИИ была оказана господдержка, что, безусловно, отражает цель вышеупомянутого Указа Президента </w:t>
      </w:r>
      <w:r w:rsidR="00AD3200">
        <w:rPr>
          <w:lang w:val="en-US" w:eastAsia="ru-RU"/>
        </w:rPr>
        <w:t>N</w:t>
      </w:r>
      <w:r w:rsidR="00AD3200" w:rsidRPr="00A45DC2">
        <w:rPr>
          <w:lang w:eastAsia="ru-RU"/>
        </w:rPr>
        <w:t xml:space="preserve"> </w:t>
      </w:r>
      <w:r w:rsidR="00AD3200">
        <w:rPr>
          <w:lang w:eastAsia="ru-RU"/>
        </w:rPr>
        <w:t>490 от 10.10.2019.</w:t>
      </w:r>
    </w:p>
    <w:p w14:paraId="17F3DDA1" w14:textId="77777777" w:rsidR="0077002C" w:rsidRDefault="00AD3200" w:rsidP="00F720B5">
      <w:pPr>
        <w:rPr>
          <w:lang w:val="en-US" w:eastAsia="ru-RU"/>
        </w:rPr>
      </w:pPr>
      <w:r>
        <w:rPr>
          <w:lang w:eastAsia="ru-RU"/>
        </w:rPr>
        <w:t>Также Тахумова О. В. рассуждает о дальнейших перспективах внедрения ИИ в территориальные органы исполнительной власти:</w:t>
      </w:r>
      <w:r w:rsidR="00C067E2" w:rsidRPr="00C067E2">
        <w:rPr>
          <w:lang w:eastAsia="ru-RU"/>
        </w:rPr>
        <w:t xml:space="preserve"> </w:t>
      </w:r>
      <w:r>
        <w:rPr>
          <w:lang w:eastAsia="ru-RU"/>
        </w:rPr>
        <w:t>«</w:t>
      </w:r>
      <w:r w:rsidR="00C067E2" w:rsidRPr="00C067E2">
        <w:rPr>
          <w:lang w:eastAsia="ru-RU"/>
        </w:rPr>
        <w:t>предполагается создание специализированных обучающих программ, направленных на</w:t>
      </w:r>
      <w:r w:rsidR="00C067E2">
        <w:rPr>
          <w:lang w:eastAsia="ru-RU"/>
        </w:rPr>
        <w:t xml:space="preserve"> </w:t>
      </w:r>
      <w:r w:rsidR="00C067E2" w:rsidRPr="00C067E2">
        <w:rPr>
          <w:lang w:eastAsia="ru-RU"/>
        </w:rPr>
        <w:t>повышение квалификации сотрудников государственных органов</w:t>
      </w:r>
      <w:r>
        <w:rPr>
          <w:lang w:eastAsia="ru-RU"/>
        </w:rPr>
        <w:t>»</w:t>
      </w:r>
      <w:r w:rsidR="00C067E2" w:rsidRPr="00C067E2">
        <w:rPr>
          <w:lang w:eastAsia="ru-RU"/>
        </w:rPr>
        <w:t xml:space="preserve">. </w:t>
      </w:r>
      <w:r>
        <w:rPr>
          <w:lang w:eastAsia="ru-RU"/>
        </w:rPr>
        <w:t>Автор делает акцент на том, что работники должны иметь не только технические знания, но и понимать этические аспекты применения ИИ для избегания рисков и обеспечения личных сведений граждан.</w:t>
      </w:r>
    </w:p>
    <w:p w14:paraId="018A2031" w14:textId="77777777" w:rsidR="00C82933" w:rsidRPr="00D85BF0" w:rsidRDefault="00C82933" w:rsidP="00F720B5">
      <w:pPr>
        <w:rPr>
          <w:lang w:eastAsia="ru-RU"/>
        </w:rPr>
      </w:pPr>
      <w:r>
        <w:rPr>
          <w:lang w:eastAsia="ru-RU"/>
        </w:rPr>
        <w:t>Наряду с Тахумовой О. В. интересным представляется мнение авторов Зезиной Е. С., Владимировой О. А., Ращупкиной М. Г.</w:t>
      </w:r>
      <w:r w:rsidR="00D85BF0">
        <w:rPr>
          <w:lang w:eastAsia="ru-RU"/>
        </w:rPr>
        <w:t xml:space="preserve"> </w:t>
      </w:r>
      <w:r w:rsidR="00D85BF0" w:rsidRPr="00D85BF0">
        <w:rPr>
          <w:lang w:eastAsia="ru-RU"/>
        </w:rPr>
        <w:t>[</w:t>
      </w:r>
      <w:r w:rsidR="00D85BF0">
        <w:rPr>
          <w:lang w:eastAsia="ru-RU"/>
        </w:rPr>
        <w:fldChar w:fldCharType="begin"/>
      </w:r>
      <w:r w:rsidR="00D85BF0">
        <w:rPr>
          <w:lang w:eastAsia="ru-RU"/>
        </w:rPr>
        <w:instrText xml:space="preserve"> REF _Ref216369027 \r \h </w:instrText>
      </w:r>
      <w:r w:rsidR="00D85BF0">
        <w:rPr>
          <w:lang w:eastAsia="ru-RU"/>
        </w:rPr>
      </w:r>
      <w:r w:rsidR="00D85BF0">
        <w:rPr>
          <w:lang w:eastAsia="ru-RU"/>
        </w:rPr>
        <w:fldChar w:fldCharType="separate"/>
      </w:r>
      <w:r w:rsidR="00D85BF0">
        <w:rPr>
          <w:lang w:eastAsia="ru-RU"/>
        </w:rPr>
        <w:t>6</w:t>
      </w:r>
      <w:r w:rsidR="00D85BF0">
        <w:rPr>
          <w:lang w:eastAsia="ru-RU"/>
        </w:rPr>
        <w:fldChar w:fldCharType="end"/>
      </w:r>
      <w:r w:rsidR="00D85BF0" w:rsidRPr="00D85BF0">
        <w:rPr>
          <w:lang w:eastAsia="ru-RU"/>
        </w:rPr>
        <w:t>].</w:t>
      </w:r>
    </w:p>
    <w:p w14:paraId="2B019BD8" w14:textId="77777777" w:rsidR="00C82933" w:rsidRPr="005E678C" w:rsidRDefault="00C82933" w:rsidP="005E678C">
      <w:r w:rsidRPr="005E678C">
        <w:t>Они предлагают следующие шаги, связанные с совершенствованием нормативной базы по использованию ИИ в государственном секторе:</w:t>
      </w:r>
    </w:p>
    <w:p w14:paraId="77C46F1B" w14:textId="77777777" w:rsidR="005E678C" w:rsidRDefault="00C82933" w:rsidP="005E678C">
      <w:r w:rsidRPr="005E678C">
        <w:t>1</w:t>
      </w:r>
      <w:r w:rsidR="005E678C">
        <w:t>.</w:t>
      </w:r>
      <w:r w:rsidR="005E678C">
        <w:tab/>
        <w:t>Создание и принятие проекта закона об использовании ИИ в государственном управлении, устанавливающего на законодательном уровне основные понятия и принципы использования ИИ, требования к безопасности и сохранности персональных данных при работе с ИИ, ответственность за ненадлежащее использование ИИ.</w:t>
      </w:r>
    </w:p>
    <w:p w14:paraId="45E748A5" w14:textId="77777777" w:rsidR="00C82933" w:rsidRPr="00C82933" w:rsidRDefault="005E678C" w:rsidP="005E678C">
      <w:r>
        <w:t>2.</w:t>
      </w:r>
      <w:r w:rsidR="00D85BF0" w:rsidRPr="00D85BF0">
        <w:tab/>
      </w:r>
      <w:r>
        <w:t xml:space="preserve">Установление перечня госорганов, уполномоченных на осуществление контроля и надзора за использованием ИИ в государственном управлении и разработка процедуры проверки соответствия ресурсов ИИ принятым требованиям </w:t>
      </w:r>
      <w:r w:rsidRPr="005E678C">
        <w:t>[].</w:t>
      </w:r>
    </w:p>
    <w:p w14:paraId="54DABE54" w14:textId="77777777" w:rsidR="00C82933" w:rsidRPr="00C82933" w:rsidRDefault="00C82933" w:rsidP="00F720B5">
      <w:pPr>
        <w:rPr>
          <w:lang w:eastAsia="ru-RU"/>
        </w:rPr>
      </w:pPr>
    </w:p>
    <w:p w14:paraId="66C474EE" w14:textId="77777777" w:rsidR="00FA6EC4" w:rsidRDefault="00FA6EC4" w:rsidP="007434C3">
      <w:r>
        <w:br w:type="page"/>
      </w:r>
    </w:p>
    <w:p w14:paraId="19C6B531" w14:textId="77777777" w:rsidR="00FA6EC4" w:rsidRDefault="00FA6EC4" w:rsidP="00E6771A">
      <w:pPr>
        <w:pStyle w:val="a3"/>
        <w:rPr>
          <w:lang w:val="en-US"/>
        </w:rPr>
      </w:pPr>
      <w:r>
        <w:t>С</w:t>
      </w:r>
      <w:r w:rsidR="00E6771A">
        <w:t>писок использованных источников</w:t>
      </w:r>
    </w:p>
    <w:p w14:paraId="7721CD66" w14:textId="77777777" w:rsidR="00E6771A" w:rsidRPr="00E6771A" w:rsidRDefault="00E6771A" w:rsidP="00E6771A">
      <w:pPr>
        <w:pStyle w:val="a3"/>
        <w:rPr>
          <w:lang w:val="en-US"/>
        </w:rPr>
      </w:pPr>
    </w:p>
    <w:p w14:paraId="66D1AF86" w14:textId="77777777" w:rsidR="00E6771A" w:rsidRPr="00D85BF0" w:rsidRDefault="00FA6EC4" w:rsidP="00E6771A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bookmarkStart w:id="0" w:name="_Ref216353934"/>
      <w:r w:rsidRPr="00D85BF0">
        <w:rPr>
          <w:lang w:eastAsia="ru-RU"/>
        </w:rPr>
        <w:t>Федеральный закон "Об экспериментальных правовых режимах в сфере цифровых инноваций в Российской Федерации" от 31.07.2020 N 258-ФЗ</w:t>
      </w:r>
      <w:bookmarkStart w:id="1" w:name="_Ref216353864"/>
      <w:bookmarkEnd w:id="0"/>
      <w:r w:rsidR="00E6771A" w:rsidRPr="00D85BF0">
        <w:rPr>
          <w:lang w:eastAsia="ru-RU"/>
        </w:rPr>
        <w:t>.</w:t>
      </w:r>
    </w:p>
    <w:p w14:paraId="1547900F" w14:textId="77777777" w:rsidR="00FA6EC4" w:rsidRPr="00D85BF0" w:rsidRDefault="00FA6EC4" w:rsidP="00E6771A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r w:rsidRPr="00D85BF0">
        <w:rPr>
          <w:lang w:eastAsia="ru-RU"/>
        </w:rPr>
        <w:t>Указ Президента РФ от 10.10.2019 N 490 (ред. от 15.02.2024) "О развитии искусственного интеллекта в Российской Федерации" (вместе с "Национальной стратегией развития искусственного интеллекта на период до 2030 года").</w:t>
      </w:r>
      <w:bookmarkEnd w:id="1"/>
    </w:p>
    <w:p w14:paraId="756E43E5" w14:textId="77777777" w:rsidR="00FA6EC4" w:rsidRPr="00D85BF0" w:rsidRDefault="00FA6EC4" w:rsidP="00FA6EC4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bookmarkStart w:id="2" w:name="_Ref216356381"/>
      <w:r w:rsidRPr="00D85BF0">
        <w:rPr>
          <w:lang w:eastAsia="ru-RU"/>
        </w:rPr>
        <w:t>Брычеев, А. С. Применение искусственного интеллекта в органах государственной власти: вызовы и перспективы / А. С. Брычеев // Вестник евразийской науки. — 2024 — Т. 16 — № s6.</w:t>
      </w:r>
      <w:bookmarkEnd w:id="2"/>
    </w:p>
    <w:p w14:paraId="222FAE17" w14:textId="77777777" w:rsidR="00FA6EC4" w:rsidRPr="00D85BF0" w:rsidRDefault="00FA6EC4" w:rsidP="007D64B8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bookmarkStart w:id="3" w:name="_Ref216365976"/>
      <w:r w:rsidRPr="00D85BF0">
        <w:rPr>
          <w:lang w:eastAsia="ru-RU"/>
        </w:rPr>
        <w:t>Варлакова, С. И. Проблемы кадрового обеспечения деятельности судов / С. И. Варлакова // Вестник магистратуры. – 2025. – № 6-1 (165). – С. 98–99.</w:t>
      </w:r>
      <w:bookmarkEnd w:id="3"/>
    </w:p>
    <w:p w14:paraId="1A36729D" w14:textId="77777777" w:rsidR="007D64B8" w:rsidRPr="00D85BF0" w:rsidRDefault="007D64B8" w:rsidP="007D64B8">
      <w:pPr>
        <w:pStyle w:val="a5"/>
        <w:numPr>
          <w:ilvl w:val="0"/>
          <w:numId w:val="1"/>
        </w:numPr>
        <w:ind w:left="0" w:firstLine="709"/>
        <w:contextualSpacing w:val="0"/>
      </w:pPr>
      <w:bookmarkStart w:id="4" w:name="_Ref216367242"/>
      <w:r w:rsidRPr="00D85BF0">
        <w:t>Голенищев Э. П., Фатхи ВИ. И. Влияние искусственного интеллекта на рынок юридических услуг: угроза профессии адвоката или новые возможности? // Социальные новации и социальные науки. 2025. №2 (19).</w:t>
      </w:r>
      <w:bookmarkEnd w:id="4"/>
    </w:p>
    <w:p w14:paraId="35D7A4BD" w14:textId="77777777" w:rsidR="00D85BF0" w:rsidRPr="00D85BF0" w:rsidRDefault="00D85BF0" w:rsidP="00D85BF0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bookmarkStart w:id="5" w:name="_Ref216369027"/>
      <w:bookmarkStart w:id="6" w:name="_Ref216354978"/>
      <w:r w:rsidRPr="00D85BF0">
        <w:t>Зезина Е. С., Владимирова О. А., Ращупкина М. Г. Правовое регулирование деятельности искусственного интеллекта в сфере государственного управления // Вестник Международного института рынка. – 2025. – № 1.</w:t>
      </w:r>
      <w:bookmarkEnd w:id="5"/>
    </w:p>
    <w:p w14:paraId="2CD7A6E0" w14:textId="77777777" w:rsidR="00C82933" w:rsidRPr="00D85BF0" w:rsidRDefault="00FA6EC4" w:rsidP="00D85BF0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bookmarkStart w:id="7" w:name="_Ref216368928"/>
      <w:r w:rsidRPr="00D85BF0">
        <w:rPr>
          <w:lang w:eastAsia="ru-RU"/>
        </w:rPr>
        <w:t>Зульфугарзаде Т.Э., Першина Ю.О. Перспективы использования искусственного интеллекта в государственном управлении в Российской Федерации // Современная российская наука: актуальные вопросы, достижения и инновации: сборник статей X Всероссийской научно-практической конференции. Пенза: – МЦНС «Наука и Просвещение». – 2025. – С. 109 – 112.</w:t>
      </w:r>
      <w:bookmarkStart w:id="8" w:name="_Ref216355619"/>
      <w:bookmarkEnd w:id="6"/>
      <w:bookmarkEnd w:id="7"/>
    </w:p>
    <w:p w14:paraId="6829AC66" w14:textId="77777777" w:rsidR="00FA6EC4" w:rsidRPr="00D85BF0" w:rsidRDefault="00FA6EC4" w:rsidP="00FA6EC4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bookmarkStart w:id="9" w:name="_Ref216368937"/>
      <w:r w:rsidRPr="00D85BF0">
        <w:rPr>
          <w:lang w:eastAsia="ru-RU"/>
        </w:rPr>
        <w:t>Никогда Ю. Г. Искусственный интеллект в государственном управлении: анализ состояния и перспективы // Вестник науки. 2025. №9 (90).</w:t>
      </w:r>
      <w:bookmarkEnd w:id="8"/>
      <w:bookmarkEnd w:id="9"/>
    </w:p>
    <w:p w14:paraId="21C7BAC5" w14:textId="77777777" w:rsidR="00FA6EC4" w:rsidRPr="00D85BF0" w:rsidRDefault="00FA6EC4" w:rsidP="00FA6EC4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bookmarkStart w:id="10" w:name="_Ref216367300"/>
      <w:r w:rsidRPr="00D85BF0">
        <w:rPr>
          <w:lang w:eastAsia="ru-RU"/>
        </w:rPr>
        <w:t>Тахумова О.В. Оптимизация государственного управления через цифровизацию: экономическая оценка внедрения ИИ-технологий в региональных администрациях РФ / О.В. Тахумова, К.О. Мацко // Международный научно-исследовательский журнал. — 2025. — №8 (158).</w:t>
      </w:r>
      <w:bookmarkEnd w:id="10"/>
    </w:p>
    <w:p w14:paraId="0654D8C2" w14:textId="77777777" w:rsidR="00FA6EC4" w:rsidRPr="00D85BF0" w:rsidRDefault="00597A15" w:rsidP="00E6771A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hyperlink r:id="rId11" w:history="1">
        <w:r w:rsidRPr="00D85BF0">
          <w:rPr>
            <w:rStyle w:val="a4"/>
            <w:color w:val="auto"/>
          </w:rPr>
          <w:t>https://www.kommersant.ru/doc/7445997</w:t>
        </w:r>
      </w:hyperlink>
    </w:p>
    <w:bookmarkStart w:id="11" w:name="_Ref216358893"/>
    <w:p w14:paraId="000C3F01" w14:textId="77777777" w:rsidR="00597A15" w:rsidRPr="00D85BF0" w:rsidRDefault="00597A15" w:rsidP="00E6771A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r w:rsidRPr="00D85BF0">
        <w:fldChar w:fldCharType="begin"/>
      </w:r>
      <w:r w:rsidRPr="00D85BF0">
        <w:instrText xml:space="preserve"> HYPERLINK "https://iz.ru/1645411/dmitrii-bulgakov/kod-v-pomoshch-ii-stali-chashche-ispolzovat-v-ekonomike-i-gosupravlenii-rossii" </w:instrText>
      </w:r>
      <w:r w:rsidRPr="00D85BF0">
        <w:fldChar w:fldCharType="separate"/>
      </w:r>
      <w:r w:rsidRPr="00D85BF0">
        <w:rPr>
          <w:rStyle w:val="a4"/>
          <w:color w:val="auto"/>
        </w:rPr>
        <w:t>https://iz.ru/1645411/dmitrii-bulgakov/kod-v-pomoshch-ii-stali-chashche-ispolzovat-v-ekonomike-i-gosupravlenii-rossii</w:t>
      </w:r>
      <w:r w:rsidRPr="00D85BF0">
        <w:fldChar w:fldCharType="end"/>
      </w:r>
      <w:bookmarkEnd w:id="11"/>
    </w:p>
    <w:bookmarkStart w:id="12" w:name="_Ref216354943"/>
    <w:p w14:paraId="70D9C980" w14:textId="77777777" w:rsidR="00086EA8" w:rsidRPr="00D85BF0" w:rsidRDefault="00B6144B" w:rsidP="00E6771A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r w:rsidRPr="00D85BF0">
        <w:rPr>
          <w:lang w:eastAsia="ru-RU"/>
        </w:rPr>
        <w:fldChar w:fldCharType="begin"/>
      </w:r>
      <w:r w:rsidRPr="00D85BF0">
        <w:rPr>
          <w:lang w:eastAsia="ru-RU"/>
        </w:rPr>
        <w:instrText xml:space="preserve"> HYPERLINK "https://rulaws.ru/laws/Federalnyy-zakon-ot-31.07.2020-N-258-FZ/" </w:instrText>
      </w:r>
      <w:r w:rsidRPr="00D85BF0">
        <w:rPr>
          <w:lang w:eastAsia="ru-RU"/>
        </w:rPr>
      </w:r>
      <w:r w:rsidRPr="00D85BF0">
        <w:rPr>
          <w:lang w:eastAsia="ru-RU"/>
        </w:rPr>
        <w:fldChar w:fldCharType="separate"/>
      </w:r>
      <w:bookmarkStart w:id="13" w:name="_Ref216366731"/>
      <w:r w:rsidRPr="00D85BF0">
        <w:rPr>
          <w:rStyle w:val="a4"/>
          <w:color w:val="auto"/>
          <w:lang w:eastAsia="ru-RU"/>
        </w:rPr>
        <w:t>https://rulaws.ru/laws/Federalnyy-zakon-ot-31.07.2020-N-258-FZ/</w:t>
      </w:r>
      <w:bookmarkEnd w:id="12"/>
      <w:bookmarkEnd w:id="13"/>
      <w:r w:rsidRPr="00D85BF0">
        <w:rPr>
          <w:lang w:eastAsia="ru-RU"/>
        </w:rPr>
        <w:fldChar w:fldCharType="end"/>
      </w:r>
    </w:p>
    <w:p w14:paraId="6E141FEC" w14:textId="77777777" w:rsidR="00B6144B" w:rsidRPr="00D85BF0" w:rsidRDefault="00B6144B" w:rsidP="00E6771A">
      <w:pPr>
        <w:pStyle w:val="a5"/>
        <w:numPr>
          <w:ilvl w:val="0"/>
          <w:numId w:val="1"/>
        </w:numPr>
        <w:ind w:left="0" w:firstLine="709"/>
        <w:contextualSpacing w:val="0"/>
        <w:rPr>
          <w:lang w:eastAsia="ru-RU"/>
        </w:rPr>
      </w:pPr>
      <w:hyperlink r:id="rId12" w:history="1">
        <w:bookmarkStart w:id="14" w:name="_Ref216365542"/>
        <w:r w:rsidRPr="00D85BF0">
          <w:rPr>
            <w:rStyle w:val="a4"/>
            <w:color w:val="auto"/>
            <w:lang w:eastAsia="ru-RU"/>
          </w:rPr>
          <w:t>https://www.kommersant.ru/doc/8271597</w:t>
        </w:r>
        <w:bookmarkEnd w:id="14"/>
      </w:hyperlink>
      <w:r w:rsidRPr="00D85BF0">
        <w:rPr>
          <w:lang w:eastAsia="ru-RU"/>
        </w:rPr>
        <w:t xml:space="preserve"> </w:t>
      </w:r>
    </w:p>
    <w:sectPr w:rsidR="00B6144B" w:rsidRPr="00D85BF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FAE87" w14:textId="77777777" w:rsidR="00387746" w:rsidRDefault="00387746" w:rsidP="00D85BF0">
      <w:pPr>
        <w:spacing w:line="240" w:lineRule="auto"/>
      </w:pPr>
      <w:r>
        <w:separator/>
      </w:r>
    </w:p>
  </w:endnote>
  <w:endnote w:type="continuationSeparator" w:id="0">
    <w:p w14:paraId="6EA33594" w14:textId="77777777" w:rsidR="00387746" w:rsidRDefault="00387746" w:rsidP="00D85B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5438507"/>
      <w:docPartObj>
        <w:docPartGallery w:val="Page Numbers (Bottom of Page)"/>
        <w:docPartUnique/>
      </w:docPartObj>
    </w:sdtPr>
    <w:sdtEndPr/>
    <w:sdtContent>
      <w:p w14:paraId="14748E4C" w14:textId="77777777" w:rsidR="00D85BF0" w:rsidRPr="00D85BF0" w:rsidRDefault="00D85BF0" w:rsidP="00D85BF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787FC" w14:textId="77777777" w:rsidR="00387746" w:rsidRDefault="00387746" w:rsidP="00D85BF0">
      <w:pPr>
        <w:spacing w:line="240" w:lineRule="auto"/>
      </w:pPr>
      <w:r>
        <w:separator/>
      </w:r>
    </w:p>
  </w:footnote>
  <w:footnote w:type="continuationSeparator" w:id="0">
    <w:p w14:paraId="353BF935" w14:textId="77777777" w:rsidR="00387746" w:rsidRDefault="00387746" w:rsidP="00D85B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2942"/>
    <w:multiLevelType w:val="hybridMultilevel"/>
    <w:tmpl w:val="0958C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3067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6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F75"/>
    <w:rsid w:val="00082B0B"/>
    <w:rsid w:val="00086EA8"/>
    <w:rsid w:val="001B1347"/>
    <w:rsid w:val="00387746"/>
    <w:rsid w:val="003C4254"/>
    <w:rsid w:val="00463389"/>
    <w:rsid w:val="005713C9"/>
    <w:rsid w:val="00597A15"/>
    <w:rsid w:val="005B6A29"/>
    <w:rsid w:val="005E678C"/>
    <w:rsid w:val="007434C3"/>
    <w:rsid w:val="0077002C"/>
    <w:rsid w:val="007923D1"/>
    <w:rsid w:val="007D64B8"/>
    <w:rsid w:val="00895E12"/>
    <w:rsid w:val="00992840"/>
    <w:rsid w:val="00994F75"/>
    <w:rsid w:val="009D32A2"/>
    <w:rsid w:val="00A40BBD"/>
    <w:rsid w:val="00A45013"/>
    <w:rsid w:val="00A45DC2"/>
    <w:rsid w:val="00A73EDB"/>
    <w:rsid w:val="00AD3200"/>
    <w:rsid w:val="00B6144B"/>
    <w:rsid w:val="00C067E2"/>
    <w:rsid w:val="00C82933"/>
    <w:rsid w:val="00D0126B"/>
    <w:rsid w:val="00D37BD6"/>
    <w:rsid w:val="00D85BF0"/>
    <w:rsid w:val="00E33C7C"/>
    <w:rsid w:val="00E6771A"/>
    <w:rsid w:val="00EC4C1A"/>
    <w:rsid w:val="00F037C1"/>
    <w:rsid w:val="00F720B5"/>
    <w:rsid w:val="00FA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F4D2"/>
  <w15:docId w15:val="{F3A8EAF8-3B4E-2F46-94C2-5FBC60A8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254"/>
    <w:pPr>
      <w:spacing w:line="360" w:lineRule="auto"/>
      <w:ind w:firstLine="709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254"/>
    <w:pPr>
      <w:spacing w:line="360" w:lineRule="auto"/>
      <w:ind w:firstLine="709"/>
      <w:jc w:val="center"/>
    </w:pPr>
    <w:rPr>
      <w:b/>
      <w:sz w:val="24"/>
    </w:rPr>
  </w:style>
  <w:style w:type="character" w:styleId="a4">
    <w:name w:val="Hyperlink"/>
    <w:basedOn w:val="a0"/>
    <w:uiPriority w:val="99"/>
    <w:unhideWhenUsed/>
    <w:rsid w:val="00597A1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A6EC4"/>
    <w:pPr>
      <w:ind w:left="720"/>
      <w:contextualSpacing/>
    </w:pPr>
  </w:style>
  <w:style w:type="character" w:styleId="a6">
    <w:name w:val="Strong"/>
    <w:basedOn w:val="a0"/>
    <w:uiPriority w:val="22"/>
    <w:qFormat/>
    <w:rsid w:val="00F037C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012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126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450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text">
    <w:name w:val="doc__text"/>
    <w:basedOn w:val="a"/>
    <w:rsid w:val="007923D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F720B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7D64B8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D85BF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85BF0"/>
    <w:rPr>
      <w:sz w:val="24"/>
    </w:rPr>
  </w:style>
  <w:style w:type="paragraph" w:styleId="ae">
    <w:name w:val="footer"/>
    <w:basedOn w:val="a"/>
    <w:link w:val="af"/>
    <w:uiPriority w:val="99"/>
    <w:unhideWhenUsed/>
    <w:rsid w:val="00D85BF0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85B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s://www.kommersant.ru/doc/8271597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www.kommersant.ru/doc/7445997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1FB14-F540-4600-9750-FBDDA233B9F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Ильина</cp:lastModifiedBy>
  <cp:revision>2</cp:revision>
  <dcterms:created xsi:type="dcterms:W3CDTF">2025-12-21T06:15:00Z</dcterms:created>
  <dcterms:modified xsi:type="dcterms:W3CDTF">2025-12-21T06:15:00Z</dcterms:modified>
</cp:coreProperties>
</file>