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183F" w14:textId="547457ED" w:rsidR="00E22BF8" w:rsidRPr="004D3845" w:rsidRDefault="00432A6D" w:rsidP="00432A6D">
      <w:pPr>
        <w:jc w:val="center"/>
        <w:rPr>
          <w:b/>
          <w:sz w:val="24"/>
          <w:szCs w:val="24"/>
        </w:rPr>
      </w:pPr>
      <w:r w:rsidRPr="004D3845">
        <w:rPr>
          <w:b/>
          <w:color w:val="000009"/>
          <w:sz w:val="24"/>
          <w:szCs w:val="24"/>
        </w:rPr>
        <w:t>АНАЛИЗ МЕР ГОСУДАРСТВЕННОЙ ПОДДЕРЖКИ СФЕРЫ ФИЗИЧЕСКОЙ КУЛЬТУРЫ И СПОРТА</w:t>
      </w:r>
    </w:p>
    <w:p w14:paraId="395F2724" w14:textId="0FE2BA16" w:rsidR="00E22BF8" w:rsidRPr="004D3845" w:rsidRDefault="00981999" w:rsidP="00E22BF8">
      <w:pPr>
        <w:spacing w:before="271"/>
        <w:ind w:right="139"/>
        <w:jc w:val="right"/>
        <w:rPr>
          <w:color w:val="000009"/>
          <w:spacing w:val="-2"/>
          <w:sz w:val="24"/>
          <w:szCs w:val="24"/>
        </w:rPr>
      </w:pPr>
      <w:r w:rsidRPr="004D3845">
        <w:rPr>
          <w:b/>
          <w:color w:val="000009"/>
          <w:sz w:val="24"/>
          <w:szCs w:val="24"/>
        </w:rPr>
        <w:t>Н</w:t>
      </w:r>
      <w:r w:rsidR="00E22BF8" w:rsidRPr="004D3845">
        <w:rPr>
          <w:b/>
          <w:color w:val="000009"/>
          <w:sz w:val="24"/>
          <w:szCs w:val="24"/>
        </w:rPr>
        <w:t xml:space="preserve">. С. </w:t>
      </w:r>
      <w:r w:rsidRPr="004D3845">
        <w:rPr>
          <w:b/>
          <w:color w:val="000009"/>
          <w:sz w:val="24"/>
          <w:szCs w:val="24"/>
        </w:rPr>
        <w:t>Захаров</w:t>
      </w:r>
      <w:r w:rsidR="00E22BF8" w:rsidRPr="004D3845">
        <w:rPr>
          <w:color w:val="000009"/>
          <w:spacing w:val="-2"/>
          <w:sz w:val="24"/>
          <w:szCs w:val="24"/>
        </w:rPr>
        <w:t>,</w:t>
      </w:r>
    </w:p>
    <w:p w14:paraId="126D6C78" w14:textId="77777777" w:rsidR="00E22BF8" w:rsidRPr="004D3845" w:rsidRDefault="00E22BF8" w:rsidP="00E22BF8">
      <w:pPr>
        <w:ind w:right="142"/>
        <w:jc w:val="right"/>
        <w:rPr>
          <w:color w:val="000009"/>
          <w:spacing w:val="-2"/>
          <w:sz w:val="24"/>
          <w:szCs w:val="24"/>
        </w:rPr>
      </w:pPr>
      <w:r w:rsidRPr="004D3845">
        <w:rPr>
          <w:sz w:val="24"/>
          <w:szCs w:val="24"/>
          <w:shd w:val="clear" w:color="auto" w:fill="FFFFFF"/>
        </w:rPr>
        <w:t>студент 4 курса кафедры социальных</w:t>
      </w:r>
      <w:r w:rsidRPr="004D3845">
        <w:rPr>
          <w:rFonts w:ascii="Open Sans" w:hAnsi="Open Sans" w:cs="Open Sans"/>
          <w:sz w:val="24"/>
          <w:szCs w:val="24"/>
        </w:rPr>
        <w:br/>
      </w:r>
      <w:r w:rsidRPr="004D3845">
        <w:rPr>
          <w:sz w:val="24"/>
          <w:szCs w:val="24"/>
          <w:shd w:val="clear" w:color="auto" w:fill="FFFFFF"/>
        </w:rPr>
        <w:t>технологий и государственной службы, НИУ «БелГУ</w:t>
      </w:r>
    </w:p>
    <w:p w14:paraId="0AE6E9A6" w14:textId="77777777" w:rsidR="00E22BF8" w:rsidRPr="004D3845" w:rsidRDefault="00E22BF8" w:rsidP="00E22BF8">
      <w:pPr>
        <w:ind w:left="851" w:right="6604"/>
        <w:rPr>
          <w:i/>
          <w:spacing w:val="-2"/>
          <w:sz w:val="24"/>
          <w:szCs w:val="24"/>
        </w:rPr>
      </w:pPr>
    </w:p>
    <w:p w14:paraId="579E45AB" w14:textId="26AF5791" w:rsidR="00E22BF8" w:rsidRPr="004D3845" w:rsidRDefault="00E22BF8" w:rsidP="00E22BF8">
      <w:pPr>
        <w:ind w:left="851"/>
        <w:jc w:val="both"/>
        <w:rPr>
          <w:i/>
          <w:spacing w:val="-2"/>
          <w:sz w:val="24"/>
          <w:szCs w:val="24"/>
        </w:rPr>
      </w:pPr>
      <w:r w:rsidRPr="004D3845">
        <w:rPr>
          <w:i/>
          <w:spacing w:val="-2"/>
          <w:sz w:val="24"/>
          <w:szCs w:val="24"/>
        </w:rPr>
        <w:t xml:space="preserve">Аннотация. </w:t>
      </w:r>
      <w:r w:rsidR="00857DC3" w:rsidRPr="004D3845">
        <w:rPr>
          <w:i/>
          <w:spacing w:val="-2"/>
          <w:sz w:val="24"/>
          <w:szCs w:val="24"/>
        </w:rPr>
        <w:t>В статье рассматриваются меры государственной поддержки сферы физической культуры и спорта в Российской Федерации, включая программно-проектные и финансово-организационные инструменты. Приведены данные о выявленной слабой взаимосвязи между бюджетными расходами на физическую культуру и спорт и спросом на платные спортивные услуги. Особое внимание уделено вопросам согласованности стратегического планирования, межуровневого регулирования и повышению результативности грантовых и информационных механизмов поддержки</w:t>
      </w:r>
      <w:r w:rsidRPr="004D3845">
        <w:rPr>
          <w:i/>
          <w:spacing w:val="-2"/>
          <w:sz w:val="24"/>
          <w:szCs w:val="24"/>
        </w:rPr>
        <w:t>.</w:t>
      </w:r>
    </w:p>
    <w:p w14:paraId="6DE38C15" w14:textId="637DA7F1" w:rsidR="00E22BF8" w:rsidRPr="004D3845" w:rsidRDefault="00E22BF8" w:rsidP="00E22BF8">
      <w:pPr>
        <w:ind w:left="851"/>
        <w:jc w:val="both"/>
        <w:rPr>
          <w:i/>
          <w:sz w:val="24"/>
          <w:szCs w:val="24"/>
        </w:rPr>
      </w:pPr>
      <w:r w:rsidRPr="004D3845">
        <w:rPr>
          <w:i/>
          <w:sz w:val="24"/>
          <w:szCs w:val="24"/>
        </w:rPr>
        <w:t>Ключевые</w:t>
      </w:r>
      <w:r w:rsidRPr="004D3845">
        <w:rPr>
          <w:i/>
          <w:spacing w:val="-15"/>
          <w:sz w:val="24"/>
          <w:szCs w:val="24"/>
        </w:rPr>
        <w:t xml:space="preserve"> </w:t>
      </w:r>
      <w:r w:rsidRPr="004D3845">
        <w:rPr>
          <w:i/>
          <w:sz w:val="24"/>
          <w:szCs w:val="24"/>
        </w:rPr>
        <w:t>слова:</w:t>
      </w:r>
      <w:r w:rsidRPr="004D3845">
        <w:rPr>
          <w:sz w:val="24"/>
          <w:szCs w:val="24"/>
        </w:rPr>
        <w:t xml:space="preserve"> </w:t>
      </w:r>
      <w:r w:rsidR="00857DC3" w:rsidRPr="004D3845">
        <w:rPr>
          <w:i/>
          <w:sz w:val="24"/>
          <w:szCs w:val="24"/>
        </w:rPr>
        <w:t>государственная поддержка; физическая культура; спорт; финансирование; стратегическое планирование; федеральные проекты; грантовые механизмы.</w:t>
      </w:r>
    </w:p>
    <w:p w14:paraId="4D81EF19" w14:textId="77777777" w:rsidR="00E22BF8" w:rsidRPr="004D3845" w:rsidRDefault="00E22BF8" w:rsidP="00E22BF8">
      <w:pPr>
        <w:pStyle w:val="a4"/>
        <w:ind w:left="0"/>
        <w:rPr>
          <w:i/>
          <w:sz w:val="24"/>
          <w:szCs w:val="24"/>
        </w:rPr>
      </w:pPr>
    </w:p>
    <w:p w14:paraId="561B1F24" w14:textId="6EF9B813" w:rsidR="00857DC3" w:rsidRPr="004D3845" w:rsidRDefault="00E22BF8" w:rsidP="00857DC3">
      <w:pPr>
        <w:ind w:left="851"/>
        <w:jc w:val="both"/>
        <w:rPr>
          <w:bCs/>
          <w:spacing w:val="-3"/>
          <w:sz w:val="24"/>
          <w:szCs w:val="24"/>
        </w:rPr>
      </w:pPr>
      <w:r w:rsidRPr="004D3845">
        <w:rPr>
          <w:b/>
          <w:color w:val="000000" w:themeColor="text1"/>
          <w:sz w:val="24"/>
          <w:szCs w:val="24"/>
        </w:rPr>
        <w:t>Введение</w:t>
      </w:r>
      <w:r w:rsidRPr="004D3845">
        <w:rPr>
          <w:b/>
          <w:sz w:val="24"/>
          <w:szCs w:val="24"/>
        </w:rPr>
        <w:t>.</w:t>
      </w:r>
      <w:r w:rsidRPr="004D3845">
        <w:rPr>
          <w:b/>
          <w:spacing w:val="-3"/>
          <w:sz w:val="24"/>
          <w:szCs w:val="24"/>
        </w:rPr>
        <w:t xml:space="preserve"> </w:t>
      </w:r>
      <w:r w:rsidR="00857DC3" w:rsidRPr="004D3845">
        <w:rPr>
          <w:bCs/>
          <w:spacing w:val="-3"/>
          <w:sz w:val="24"/>
          <w:szCs w:val="24"/>
        </w:rPr>
        <w:t>Актуальность исследования обусловлена тем, что сфера физической культуры и спорта в современных социально-экономических условиях рассматривается государством как инструмент укрепления общественного здоровья, повышения качества жизни и накопления человеческого капитала, а также как фактор социального развития территорий. Существенная роль государственной поддержки проявляется в формировании нормативно-программных условий развития массового спорта, подготовки спортивного резерва и обеспечения доступности спортивной инфраструктуры, что закрепляется в государственной программе и федеральных проектах.</w:t>
      </w:r>
    </w:p>
    <w:p w14:paraId="698687E9" w14:textId="77777777" w:rsidR="00857DC3" w:rsidRPr="004D3845" w:rsidRDefault="00857DC3" w:rsidP="00857DC3">
      <w:pPr>
        <w:ind w:left="851"/>
        <w:jc w:val="both"/>
        <w:rPr>
          <w:bCs/>
          <w:spacing w:val="-3"/>
          <w:sz w:val="24"/>
          <w:szCs w:val="24"/>
        </w:rPr>
      </w:pPr>
    </w:p>
    <w:p w14:paraId="1F74C3F6" w14:textId="2539DE30" w:rsidR="00E22BF8" w:rsidRPr="004D3845" w:rsidRDefault="00857DC3" w:rsidP="00034812">
      <w:pPr>
        <w:ind w:left="851"/>
        <w:jc w:val="both"/>
        <w:rPr>
          <w:bCs/>
          <w:spacing w:val="-3"/>
          <w:sz w:val="24"/>
          <w:szCs w:val="24"/>
        </w:rPr>
      </w:pPr>
      <w:r w:rsidRPr="004D3845">
        <w:rPr>
          <w:bCs/>
          <w:spacing w:val="-3"/>
          <w:sz w:val="24"/>
          <w:szCs w:val="24"/>
        </w:rPr>
        <w:t>В то же время эффективность мер государственной поддержки не является априорно заданной: она зависит от согласованности правовых, финансовых, организационных и информационных инструментов, а также от социально-экономического положения населения и региональной дифференциации ресурсов. Так, на эмпирическом материале регионов Приволжского федерального округа выявляется отсутствие статистически выраженной взаимосвязи между бюджетными расходами на физическую культуру и спорт и ростом спроса на платные физкультурно-спортивные услуги [1, C. 22].</w:t>
      </w:r>
      <w:r w:rsidR="00034812" w:rsidRPr="004D3845">
        <w:rPr>
          <w:bCs/>
          <w:spacing w:val="-3"/>
          <w:sz w:val="24"/>
          <w:szCs w:val="24"/>
        </w:rPr>
        <w:t xml:space="preserve"> </w:t>
      </w:r>
      <w:r w:rsidRPr="004D3845">
        <w:rPr>
          <w:bCs/>
          <w:spacing w:val="-3"/>
          <w:sz w:val="24"/>
          <w:szCs w:val="24"/>
        </w:rPr>
        <w:t>Следовательно, научный анализ мер государственной поддержки должен включать не только описание действующих инструментов, но и оценку их результативности в контексте национальных приоритетов и возможностей домохозяйств, а также выявление направлений совершенствования регулирования и финансирования отрасли.</w:t>
      </w:r>
      <w:r w:rsidR="00C0465C" w:rsidRPr="004D3845">
        <w:rPr>
          <w:bCs/>
          <w:spacing w:val="-3"/>
          <w:sz w:val="24"/>
          <w:szCs w:val="24"/>
        </w:rPr>
        <w:t xml:space="preserve"> </w:t>
      </w:r>
    </w:p>
    <w:p w14:paraId="41421519" w14:textId="77777777" w:rsidR="00E22BF8" w:rsidRPr="004D3845" w:rsidRDefault="00E22BF8" w:rsidP="00E22BF8">
      <w:pPr>
        <w:jc w:val="both"/>
        <w:rPr>
          <w:sz w:val="24"/>
          <w:szCs w:val="24"/>
        </w:rPr>
      </w:pPr>
    </w:p>
    <w:p w14:paraId="31AD4977" w14:textId="77777777" w:rsidR="00857DC3" w:rsidRPr="004D3845" w:rsidRDefault="00E22BF8" w:rsidP="00857DC3">
      <w:pPr>
        <w:ind w:left="851"/>
        <w:jc w:val="both"/>
        <w:rPr>
          <w:sz w:val="24"/>
          <w:szCs w:val="24"/>
        </w:rPr>
      </w:pPr>
      <w:r w:rsidRPr="004D3845">
        <w:rPr>
          <w:b/>
          <w:color w:val="000000" w:themeColor="text1"/>
          <w:sz w:val="24"/>
          <w:szCs w:val="24"/>
        </w:rPr>
        <w:t>Методы</w:t>
      </w:r>
      <w:r w:rsidRPr="004D3845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4D3845">
        <w:rPr>
          <w:b/>
          <w:color w:val="000000" w:themeColor="text1"/>
          <w:sz w:val="24"/>
          <w:szCs w:val="24"/>
        </w:rPr>
        <w:t>и</w:t>
      </w:r>
      <w:r w:rsidRPr="004D3845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4D3845">
        <w:rPr>
          <w:b/>
          <w:color w:val="000000" w:themeColor="text1"/>
          <w:sz w:val="24"/>
          <w:szCs w:val="24"/>
        </w:rPr>
        <w:t>организация</w:t>
      </w:r>
      <w:r w:rsidRPr="004D3845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4D3845">
        <w:rPr>
          <w:b/>
          <w:color w:val="000000" w:themeColor="text1"/>
          <w:sz w:val="24"/>
          <w:szCs w:val="24"/>
        </w:rPr>
        <w:t>исследования</w:t>
      </w:r>
      <w:r w:rsidRPr="004D3845">
        <w:rPr>
          <w:b/>
          <w:sz w:val="24"/>
          <w:szCs w:val="24"/>
        </w:rPr>
        <w:t>.</w:t>
      </w:r>
      <w:r w:rsidRPr="004D3845">
        <w:rPr>
          <w:b/>
          <w:spacing w:val="40"/>
          <w:sz w:val="24"/>
          <w:szCs w:val="24"/>
        </w:rPr>
        <w:t xml:space="preserve"> </w:t>
      </w:r>
      <w:r w:rsidR="00857DC3" w:rsidRPr="004D3845">
        <w:rPr>
          <w:sz w:val="24"/>
          <w:szCs w:val="24"/>
        </w:rPr>
        <w:t xml:space="preserve">Проблематику взаимосвязи уровня жизни и спроса на спортивные услуги, а также ограничения прямого «расходного» подхода к стимулированию вовлеченности населения в занятия спортом рассматривал Д.П. Аркалов [1]. Институциональные аспекты регулирования развития физической культуры и спорта на разных уровнях публичной власти анализируются Е.В. Давыдовой [4]. Вопросы регионального стратегического планирования, включая программно-целевой подход как механизм реализации стратегий развития отрасли, раскрываются в работе В.И. Лукащука [5]. Функционально-управленческий взгляд на физическую культуру и спорт как на объект государственного управления представлен В.Н. Маковеевым и Н.Л. </w:t>
      </w:r>
      <w:r w:rsidR="00857DC3" w:rsidRPr="004D3845">
        <w:rPr>
          <w:sz w:val="24"/>
          <w:szCs w:val="24"/>
        </w:rPr>
        <w:lastRenderedPageBreak/>
        <w:t>Шемякиным [6].</w:t>
      </w:r>
    </w:p>
    <w:p w14:paraId="5FE8375D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</w:p>
    <w:p w14:paraId="6AA0E285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Вместе с тем комплексная оценка согласованности мер государственной поддержки (нормативных, бюджетных, грантовых и информационно-коммуникационных) и их соответствия целям государственной политики требует систематизации инструментов и уточнения критериев их результативности применительно к российской практике.</w:t>
      </w:r>
    </w:p>
    <w:p w14:paraId="391EEC32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</w:p>
    <w:p w14:paraId="725818DF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Объектом исследования выступают меры государственной поддержки сферы физической культуры и спорта в Российской Федерации.</w:t>
      </w:r>
    </w:p>
    <w:p w14:paraId="38BF13A1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Предметом исследования являются правовые, организационно-управленческие и финансово-экономические механизмы реализации государственной поддержки, включая программно-целевые и проектные инструменты.</w:t>
      </w:r>
    </w:p>
    <w:p w14:paraId="1560E1A1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Цель исследования заключается в анализе действующих мер государственной поддержки физической культуры и спорта и выявлении проблем их реализации с формулированием предложений по повышению результативности государственного воздействия.</w:t>
      </w:r>
    </w:p>
    <w:p w14:paraId="40BCA4AC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</w:p>
    <w:p w14:paraId="0005AD3C" w14:textId="2885E407" w:rsidR="00E22BF8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В работе использовались методы теоретического анализа и обобщения научных подходов, сравнительно-правовой метод, контент-анализ программных документов, а также элементы статистико-аналитического подхода при интерпретации выводов об устойчивости связей между бюджетными расходами и спросом на спортивные услуги</w:t>
      </w:r>
      <w:r w:rsidR="00D67961" w:rsidRPr="004D3845">
        <w:rPr>
          <w:sz w:val="24"/>
          <w:szCs w:val="24"/>
        </w:rPr>
        <w:t>.</w:t>
      </w:r>
    </w:p>
    <w:p w14:paraId="74D3925D" w14:textId="77777777" w:rsidR="00E22BF8" w:rsidRPr="004D3845" w:rsidRDefault="00E22BF8" w:rsidP="00E22BF8">
      <w:pPr>
        <w:ind w:left="143" w:firstLine="707"/>
        <w:jc w:val="both"/>
        <w:rPr>
          <w:sz w:val="24"/>
          <w:szCs w:val="24"/>
        </w:rPr>
      </w:pPr>
    </w:p>
    <w:p w14:paraId="249EA532" w14:textId="17AA1EFD" w:rsidR="00857DC3" w:rsidRPr="004D3845" w:rsidRDefault="00E22BF8" w:rsidP="00445FE2">
      <w:pPr>
        <w:ind w:left="851"/>
        <w:jc w:val="both"/>
        <w:rPr>
          <w:sz w:val="24"/>
          <w:szCs w:val="24"/>
        </w:rPr>
      </w:pPr>
      <w:r w:rsidRPr="004D3845">
        <w:rPr>
          <w:b/>
          <w:color w:val="000000" w:themeColor="text1"/>
          <w:sz w:val="24"/>
          <w:szCs w:val="24"/>
        </w:rPr>
        <w:t>Результаты</w:t>
      </w:r>
      <w:r w:rsidRPr="004D3845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4D3845">
        <w:rPr>
          <w:b/>
          <w:color w:val="000000" w:themeColor="text1"/>
          <w:sz w:val="24"/>
          <w:szCs w:val="24"/>
        </w:rPr>
        <w:t>и</w:t>
      </w:r>
      <w:r w:rsidRPr="004D3845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4D3845">
        <w:rPr>
          <w:b/>
          <w:color w:val="000000" w:themeColor="text1"/>
          <w:sz w:val="24"/>
          <w:szCs w:val="24"/>
        </w:rPr>
        <w:t>обсуждение</w:t>
      </w:r>
      <w:r w:rsidRPr="004D3845">
        <w:rPr>
          <w:b/>
          <w:sz w:val="24"/>
          <w:szCs w:val="24"/>
        </w:rPr>
        <w:t>.</w:t>
      </w:r>
      <w:r w:rsidRPr="004D3845">
        <w:rPr>
          <w:sz w:val="24"/>
          <w:szCs w:val="24"/>
        </w:rPr>
        <w:t xml:space="preserve"> </w:t>
      </w:r>
      <w:r w:rsidR="00857DC3" w:rsidRPr="004D3845">
        <w:rPr>
          <w:sz w:val="24"/>
          <w:szCs w:val="24"/>
        </w:rPr>
        <w:t>Нормативная архитектура государственной поддержки сферы физической культуры и спорта формируется, во-первых, на основе отраслевого законодательства, задающего рамки компетенций и форм участия публичной власти, во-вторых, на основе стратегических документов, определяющих долгосрочные приоритеты, и, в-третьих, на основе программно-проектных механизмов, обеспечивающих финансирование и организационную реализацию мер. К ключевым документам относятся федеральный закон, закрепляющий основы регулирования отрасли [7], и стратегический документ, определяющий развитие сферы на период до 2030 года [8].</w:t>
      </w:r>
    </w:p>
    <w:p w14:paraId="753426D5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</w:p>
    <w:p w14:paraId="6CC2B801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В научной литературе подчеркивается, что реализация стратегических установок на региональном уровне осуществляется через инструменты программно-целевого управления. В частности, отмечается, что стратегия как результат процесса стратегического планирования реализуется посредством программно-целевого подхода [5, C. 1]. В этой логике особое значение приобретает согласование целей, задач и индикаторов между уровнями управления, а также увязка мероприятий с ресурсным обеспечением.</w:t>
      </w:r>
    </w:p>
    <w:p w14:paraId="0519FDAC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</w:p>
    <w:p w14:paraId="512553F9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Системное оформление государственной поддержки конкретизируется через государственную программу «Развитие физической культуры и спорта» [2] и паспорта федеральных проектов, ориентированные на массовый спорт и создание условий для занятий физической культурой, включая проект «Спорт – норма жизни» [10] и проект «Развитие физической культуры и массового спорта» [9]. Эти документы институционализируют проектный подход (целеполагание, показатели, мероприятия, финансовые механизмы) и задают рамку для распределения ответственности между федеральными органами и субъектами Российской Федерации.</w:t>
      </w:r>
    </w:p>
    <w:p w14:paraId="265BB1DA" w14:textId="77777777" w:rsidR="00857DC3" w:rsidRPr="004D3845" w:rsidRDefault="00857DC3" w:rsidP="00445FE2">
      <w:pPr>
        <w:jc w:val="both"/>
        <w:rPr>
          <w:sz w:val="24"/>
          <w:szCs w:val="24"/>
        </w:rPr>
      </w:pPr>
    </w:p>
    <w:p w14:paraId="42797361" w14:textId="346E3177" w:rsidR="00857DC3" w:rsidRPr="004D3845" w:rsidRDefault="00857DC3" w:rsidP="00445FE2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lastRenderedPageBreak/>
        <w:t>Анализ содержания мер государственной поддержки позволяет выделить несколько групп инструментов.</w:t>
      </w:r>
      <w:r w:rsidR="00445FE2" w:rsidRPr="004D3845">
        <w:rPr>
          <w:sz w:val="24"/>
          <w:szCs w:val="24"/>
        </w:rPr>
        <w:t xml:space="preserve"> </w:t>
      </w:r>
      <w:r w:rsidRPr="004D3845">
        <w:rPr>
          <w:sz w:val="24"/>
          <w:szCs w:val="24"/>
        </w:rPr>
        <w:t>Во-первых, финансово-бюджетные инструменты включают бюджетные ассигнования на отраслевые мероприятия, субсидирование регионов, финансирование инфраструктурных проектов, подготовку спортивного резерва, проведение массовых мероприятий и развитие системы физического воспитания. В прикладных исследованиях подчёркивается необходимость многоуровневого распределения функций регулирования и финансирования, обеспечивающего «вертикальную» согласованность решений [4, C. 5].</w:t>
      </w:r>
    </w:p>
    <w:p w14:paraId="484C1CF7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</w:p>
    <w:p w14:paraId="2B000992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Во-вторых, организационно-управленческие инструменты выражаются в формировании системы государственного управления отраслью, определении полномочий и процедур координации. Физическая культура и спорт характеризуются как объект государственного управления, требующий сочетания нормативного регулирования, управленческих технологий и организационных механизмов, направленных на обеспечение условий для физической активности населения и спортивной инклюзии [6, C. 1].</w:t>
      </w:r>
    </w:p>
    <w:p w14:paraId="3B7BF7B6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</w:p>
    <w:p w14:paraId="1DDADA82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В-третьих, проектно-программные инструменты предполагают стратегическое планирование, программирование, мониторинг и оценку эффективности, что соответствует программно-целевой логике управления. Подчеркивается, что стратегическое планирование на региональном уровне позволяет снижать неопределенности и риски, обеспечивать более эффективное использование ресурсов и объединять усилия организаций при реализации целей развития отрасли [5, C. 6].</w:t>
      </w:r>
    </w:p>
    <w:p w14:paraId="6FFD7B73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</w:p>
    <w:p w14:paraId="6A75DCE4" w14:textId="23AF06BB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В-четвертых, грантовые механизмы выступают важным элементом поддержки социально ориентированных инициатив, мероприятий массового спорта и проектов, ориентированных на вовлечение населения. На официальном уровне закреплена грантовая программа Министерства спорта Российской Федерации, включающая конкурсы по годам</w:t>
      </w:r>
      <w:r w:rsidR="00B41841" w:rsidRPr="004D3845">
        <w:rPr>
          <w:sz w:val="24"/>
          <w:szCs w:val="24"/>
        </w:rPr>
        <w:t xml:space="preserve"> </w:t>
      </w:r>
      <w:r w:rsidRPr="004D3845">
        <w:rPr>
          <w:sz w:val="24"/>
          <w:szCs w:val="24"/>
        </w:rPr>
        <w:t>[3]. Данный инструмент обладает высоким потенциалом адресности (поддержка конкретных проектов и целевых групп), но требует развитых процедур оценки социального эффекта и прозрачного мониторинга результатов.</w:t>
      </w:r>
    </w:p>
    <w:p w14:paraId="46A8093E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</w:p>
    <w:p w14:paraId="37777760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В-пятых, информационно-коммуникационные меры (пропаганда здорового образа жизни, информационные кампании, стимулирование участия в физкультурно-спортивных практиках) дополняют финансовые механизмы. В исследовании Д.П. Аркалова сделан вывод о необходимости информационной кампании со стороны государства как условия повышения ориентированности граждан на здоровый образ жизни при удовлетворении первоочередных потребностей домохозяйств [1, C. 22].</w:t>
      </w:r>
    </w:p>
    <w:p w14:paraId="52388855" w14:textId="77777777" w:rsidR="00857DC3" w:rsidRPr="004D3845" w:rsidRDefault="00857DC3" w:rsidP="00445FE2">
      <w:pPr>
        <w:jc w:val="both"/>
        <w:rPr>
          <w:sz w:val="24"/>
          <w:szCs w:val="24"/>
        </w:rPr>
      </w:pPr>
    </w:p>
    <w:p w14:paraId="5DD310A0" w14:textId="599A7775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Ключевой аналитический вывод состоит в том, что увеличение бюджетных расходов само по себе не гарантирует прироста спроса на спортивные услуги и устойчивого роста вовлеченности населения. Показано, что при расчете корреляционных зависимостей по регионам Приволжского федерального округа отсутствует взаимосвязь между бюджетными расходами непосредственно на физическую культуру и спорт и ростом спроса на платные услуги в этой сфере. При этом сильнее проявляется связь спроса с личными доходами и экономической динамикой территорий [1, C. 22].</w:t>
      </w:r>
    </w:p>
    <w:p w14:paraId="0531AB9C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</w:p>
    <w:p w14:paraId="5D913F36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Отмеченное обстоятельство имеет важные управленческие последствия. Во-</w:t>
      </w:r>
      <w:r w:rsidRPr="004D3845">
        <w:rPr>
          <w:sz w:val="24"/>
          <w:szCs w:val="24"/>
        </w:rPr>
        <w:lastRenderedPageBreak/>
        <w:t>первых, результативность государственной поддержки зависит от способности мер не только расширять предложение (строительство объектов, организация мероприятий), но и формировать устойчивую мотивацию населения, учитывая ограничения платежеспособности. Во-вторых, возрастает значимость комплексного учета показателей вовлеченности, обеспеченности инфраструктурой и социально-экономического контекста. В частности, при оценке регионального развития используются показатели статистических отчетов, включая формы 1‑ФК, 2‑ГТО, 3‑АФК и 5‑ФК, что демонстрирует институциональную ориентацию на измеримость результатов [1, C. 23].</w:t>
      </w:r>
    </w:p>
    <w:p w14:paraId="2832D5A8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</w:p>
    <w:p w14:paraId="413B5C1B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  <w:r w:rsidRPr="004D3845">
        <w:rPr>
          <w:sz w:val="24"/>
          <w:szCs w:val="24"/>
        </w:rPr>
        <w:t>Наряду с экономическими ограничениями выявляется методологическая проблема согласования стратегических документов и практики проектного управления на региональном уровне. В.И. Лукащук подчеркивает, что для успешного внедрения мероприятий стратегического планирования требуется системный анализ правовых основ и результатов реализации программ развития физической культуры и спорта [5, C. 5]. Это означает необходимость укрепления «связки» между целями стратегий, программными мероприятиями и механизмами контроля, включая единообразие индикаторов и прозрачность отчетности.</w:t>
      </w:r>
    </w:p>
    <w:p w14:paraId="1D495BFD" w14:textId="77777777" w:rsidR="00857DC3" w:rsidRPr="004D3845" w:rsidRDefault="00857DC3" w:rsidP="00857DC3">
      <w:pPr>
        <w:ind w:left="851"/>
        <w:jc w:val="both"/>
        <w:rPr>
          <w:sz w:val="24"/>
          <w:szCs w:val="24"/>
        </w:rPr>
      </w:pPr>
    </w:p>
    <w:p w14:paraId="266A2778" w14:textId="4EDC42D5" w:rsidR="00857DC3" w:rsidRPr="004D3845" w:rsidRDefault="00857DC3" w:rsidP="00445FE2">
      <w:pPr>
        <w:ind w:left="851"/>
        <w:jc w:val="both"/>
        <w:rPr>
          <w:bCs/>
          <w:spacing w:val="-3"/>
          <w:sz w:val="24"/>
          <w:szCs w:val="24"/>
        </w:rPr>
      </w:pPr>
      <w:r w:rsidRPr="004D3845">
        <w:rPr>
          <w:sz w:val="24"/>
          <w:szCs w:val="24"/>
        </w:rPr>
        <w:t>Институциональная сложность отрасли проявляется и в многоуровневом характере регулирования. Е.В. Давыдова указывает, что на муниципальном уровне регулирование включает финансирование мероприятий, содержание физкультурно-оздоровительных и спортивных сооружений, создание условий для развития спорта в сельской местности, оказание адресной финансовой поддержки негосударственным организациям, а также поощрение меценатства и благотворительности [4, C. 5]. В этих условиях повышается риск фрагментации мер и «разрыва» между финансовыми решениями и реальными потребностями населения (включая различия между городскими и сельскими территориями)</w:t>
      </w:r>
      <w:r w:rsidR="00E22BF8" w:rsidRPr="004D3845">
        <w:rPr>
          <w:bCs/>
          <w:spacing w:val="-3"/>
          <w:sz w:val="24"/>
          <w:szCs w:val="24"/>
        </w:rPr>
        <w:t>.</w:t>
      </w:r>
    </w:p>
    <w:p w14:paraId="5178EBFA" w14:textId="77777777" w:rsidR="00857DC3" w:rsidRPr="004D3845" w:rsidRDefault="00857DC3" w:rsidP="00857DC3">
      <w:pPr>
        <w:pStyle w:val="a6"/>
        <w:ind w:left="1211" w:firstLine="0"/>
        <w:rPr>
          <w:sz w:val="24"/>
          <w:szCs w:val="24"/>
        </w:rPr>
      </w:pPr>
    </w:p>
    <w:p w14:paraId="2701B74E" w14:textId="77777777" w:rsidR="00857DC3" w:rsidRPr="004D3845" w:rsidRDefault="00857DC3" w:rsidP="00857DC3">
      <w:pPr>
        <w:ind w:left="851"/>
        <w:rPr>
          <w:sz w:val="24"/>
          <w:szCs w:val="24"/>
        </w:rPr>
      </w:pPr>
      <w:r w:rsidRPr="004D3845">
        <w:rPr>
          <w:sz w:val="24"/>
          <w:szCs w:val="24"/>
        </w:rPr>
        <w:t>На основе проведенного анализа представляется целесообразным выделить следующие направления совершенствования мер государственной поддержки сферы физической культуры и спорта.</w:t>
      </w:r>
    </w:p>
    <w:p w14:paraId="07E1EAE1" w14:textId="77777777" w:rsidR="00857DC3" w:rsidRPr="004D3845" w:rsidRDefault="00857DC3" w:rsidP="00857DC3">
      <w:pPr>
        <w:pStyle w:val="a6"/>
        <w:ind w:left="1211" w:firstLine="0"/>
        <w:rPr>
          <w:sz w:val="24"/>
          <w:szCs w:val="24"/>
        </w:rPr>
      </w:pPr>
    </w:p>
    <w:p w14:paraId="00FC6E6B" w14:textId="77777777" w:rsidR="00857DC3" w:rsidRPr="004D3845" w:rsidRDefault="00857DC3" w:rsidP="00857DC3">
      <w:pPr>
        <w:pStyle w:val="a6"/>
        <w:numPr>
          <w:ilvl w:val="0"/>
          <w:numId w:val="1"/>
        </w:numPr>
        <w:rPr>
          <w:sz w:val="24"/>
          <w:szCs w:val="24"/>
        </w:rPr>
      </w:pPr>
      <w:r w:rsidRPr="004D3845">
        <w:rPr>
          <w:sz w:val="24"/>
          <w:szCs w:val="24"/>
        </w:rPr>
        <w:t>Усиление результативности программно-целевого и проектного управления. Требуется повышение согласованности стратегических установок и программных мероприятий, уточнение индикаторов, обеспечивающих сопоставимость между регионами, и развитие мониторинга на базе форм отраслевой статистики [1, C. 23]. При этом программно-целевой подход должен использоваться как инструмент не только распределения ресурсов, но и управления достижением социального эффекта [5, C. 1].</w:t>
      </w:r>
    </w:p>
    <w:p w14:paraId="6F24A695" w14:textId="77777777" w:rsidR="00857DC3" w:rsidRPr="004D3845" w:rsidRDefault="00857DC3" w:rsidP="00857DC3">
      <w:pPr>
        <w:pStyle w:val="a6"/>
        <w:ind w:left="1211" w:firstLine="0"/>
        <w:rPr>
          <w:sz w:val="24"/>
          <w:szCs w:val="24"/>
        </w:rPr>
      </w:pPr>
    </w:p>
    <w:p w14:paraId="6C17864F" w14:textId="77777777" w:rsidR="00857DC3" w:rsidRPr="004D3845" w:rsidRDefault="00857DC3" w:rsidP="00857DC3">
      <w:pPr>
        <w:pStyle w:val="a6"/>
        <w:numPr>
          <w:ilvl w:val="0"/>
          <w:numId w:val="1"/>
        </w:numPr>
        <w:rPr>
          <w:sz w:val="24"/>
          <w:szCs w:val="24"/>
        </w:rPr>
      </w:pPr>
      <w:r w:rsidRPr="004D3845">
        <w:rPr>
          <w:sz w:val="24"/>
          <w:szCs w:val="24"/>
        </w:rPr>
        <w:t>Комплексирование финансовых и информационных мер. С учетом вывода о слабой связи спроса на спортивные услуги с бюджетными расходами и более выраженной зависимости от доходов населения [1, C. 22] целесообразно развивать механизмы мотивации и информационной поддержки, ориентированные на разные социальные группы, включая молодежь и экономически уязвимые категории.</w:t>
      </w:r>
    </w:p>
    <w:p w14:paraId="5D886488" w14:textId="77777777" w:rsidR="00857DC3" w:rsidRPr="004D3845" w:rsidRDefault="00857DC3" w:rsidP="00857DC3">
      <w:pPr>
        <w:pStyle w:val="a6"/>
        <w:ind w:left="1211" w:firstLine="0"/>
        <w:rPr>
          <w:sz w:val="24"/>
          <w:szCs w:val="24"/>
        </w:rPr>
      </w:pPr>
    </w:p>
    <w:p w14:paraId="54859B88" w14:textId="77777777" w:rsidR="00857DC3" w:rsidRPr="004D3845" w:rsidRDefault="00857DC3" w:rsidP="00857DC3">
      <w:pPr>
        <w:pStyle w:val="a6"/>
        <w:numPr>
          <w:ilvl w:val="0"/>
          <w:numId w:val="1"/>
        </w:numPr>
        <w:rPr>
          <w:sz w:val="24"/>
          <w:szCs w:val="24"/>
        </w:rPr>
      </w:pPr>
      <w:r w:rsidRPr="004D3845">
        <w:rPr>
          <w:sz w:val="24"/>
          <w:szCs w:val="24"/>
        </w:rPr>
        <w:t xml:space="preserve">Развитие адресных инструментов и поддержки негосударственного сектора. Важно повышать доступность грантовой поддержки как инструмента стимулирования локальных инициатив и вовлечения НКО, используя возможности грантовой программы Министерства спорта [3]. Одновременно </w:t>
      </w:r>
      <w:r w:rsidRPr="004D3845">
        <w:rPr>
          <w:sz w:val="24"/>
          <w:szCs w:val="24"/>
        </w:rPr>
        <w:lastRenderedPageBreak/>
        <w:t>необходимо совершенствовать оценку социального эффекта грантовых проектов и обеспечивать воспроизводимость успешных практик.</w:t>
      </w:r>
    </w:p>
    <w:p w14:paraId="24ACA05A" w14:textId="77777777" w:rsidR="00857DC3" w:rsidRPr="004D3845" w:rsidRDefault="00857DC3" w:rsidP="00857DC3">
      <w:pPr>
        <w:pStyle w:val="a6"/>
        <w:ind w:left="1211" w:firstLine="0"/>
        <w:rPr>
          <w:sz w:val="24"/>
          <w:szCs w:val="24"/>
        </w:rPr>
      </w:pPr>
    </w:p>
    <w:p w14:paraId="522C32F1" w14:textId="1BBE11DE" w:rsidR="00E22BF8" w:rsidRPr="004D3845" w:rsidRDefault="00857DC3" w:rsidP="00857DC3">
      <w:pPr>
        <w:pStyle w:val="a6"/>
        <w:numPr>
          <w:ilvl w:val="0"/>
          <w:numId w:val="1"/>
        </w:numPr>
        <w:rPr>
          <w:sz w:val="24"/>
          <w:szCs w:val="24"/>
        </w:rPr>
      </w:pPr>
      <w:r w:rsidRPr="004D3845">
        <w:rPr>
          <w:sz w:val="24"/>
          <w:szCs w:val="24"/>
        </w:rPr>
        <w:t xml:space="preserve">Укрепление межуровневой координации и территориальной адаптации. Многоуровневая система регулирования предполагает необходимость четкого разграничения полномочий и координации между федеральным, региональным и муниципальным уровнями [4, C. </w:t>
      </w:r>
      <w:r w:rsidR="00513829">
        <w:rPr>
          <w:sz w:val="24"/>
          <w:szCs w:val="24"/>
        </w:rPr>
        <w:t>6</w:t>
      </w:r>
      <w:r w:rsidRPr="004D3845">
        <w:rPr>
          <w:sz w:val="24"/>
          <w:szCs w:val="24"/>
        </w:rPr>
        <w:t>]. Это актуализирует разработку единых методических подходов к планированию и оценке инфраструктурных проектов, а также к обеспечению равной доступности спортивных объектов.</w:t>
      </w:r>
    </w:p>
    <w:p w14:paraId="04AB3434" w14:textId="77777777" w:rsidR="00E22BF8" w:rsidRPr="004D3845" w:rsidRDefault="00E22BF8" w:rsidP="00E22BF8">
      <w:pPr>
        <w:ind w:left="851"/>
        <w:jc w:val="both"/>
        <w:rPr>
          <w:sz w:val="24"/>
          <w:szCs w:val="24"/>
        </w:rPr>
      </w:pPr>
    </w:p>
    <w:p w14:paraId="3267B362" w14:textId="18753415" w:rsidR="00857DC3" w:rsidRPr="004D3845" w:rsidRDefault="00E22BF8" w:rsidP="00857DC3">
      <w:pPr>
        <w:ind w:left="851"/>
        <w:jc w:val="both"/>
        <w:rPr>
          <w:bCs/>
          <w:spacing w:val="-4"/>
          <w:sz w:val="24"/>
          <w:szCs w:val="24"/>
        </w:rPr>
      </w:pPr>
      <w:r w:rsidRPr="004D3845">
        <w:rPr>
          <w:b/>
          <w:color w:val="000000" w:themeColor="text1"/>
          <w:sz w:val="24"/>
          <w:szCs w:val="24"/>
        </w:rPr>
        <w:t>Заключение</w:t>
      </w:r>
      <w:r w:rsidRPr="004D3845">
        <w:rPr>
          <w:b/>
          <w:sz w:val="24"/>
          <w:szCs w:val="24"/>
        </w:rPr>
        <w:t>.</w:t>
      </w:r>
      <w:r w:rsidRPr="004D3845">
        <w:rPr>
          <w:b/>
          <w:spacing w:val="-4"/>
          <w:sz w:val="24"/>
          <w:szCs w:val="24"/>
        </w:rPr>
        <w:t xml:space="preserve"> </w:t>
      </w:r>
      <w:r w:rsidR="00857DC3" w:rsidRPr="004D3845">
        <w:rPr>
          <w:bCs/>
          <w:spacing w:val="-4"/>
          <w:sz w:val="24"/>
          <w:szCs w:val="24"/>
        </w:rPr>
        <w:t>Проведенный анализ показывает, что государственная поддержка сферы физической культуры и спорта реализуется через совокупность взаимосвязанных нормативных, программно-проектных, финансовых, грантовых и информационно-коммуникационных инструментов, закрепленных в стратегических документах, государственной программе и федеральных проектах</w:t>
      </w:r>
      <w:r w:rsidR="00324869" w:rsidRPr="004D3845">
        <w:rPr>
          <w:bCs/>
          <w:spacing w:val="-4"/>
          <w:sz w:val="24"/>
          <w:szCs w:val="24"/>
        </w:rPr>
        <w:t>.</w:t>
      </w:r>
    </w:p>
    <w:p w14:paraId="4F59856D" w14:textId="77777777" w:rsidR="00857DC3" w:rsidRPr="004D3845" w:rsidRDefault="00857DC3" w:rsidP="00857DC3">
      <w:pPr>
        <w:ind w:left="851"/>
        <w:jc w:val="both"/>
        <w:rPr>
          <w:bCs/>
          <w:spacing w:val="-4"/>
          <w:sz w:val="24"/>
          <w:szCs w:val="24"/>
        </w:rPr>
      </w:pPr>
    </w:p>
    <w:p w14:paraId="386083BC" w14:textId="77777777" w:rsidR="00857DC3" w:rsidRPr="004D3845" w:rsidRDefault="00857DC3" w:rsidP="00857DC3">
      <w:pPr>
        <w:ind w:left="851"/>
        <w:jc w:val="both"/>
        <w:rPr>
          <w:bCs/>
          <w:spacing w:val="-4"/>
          <w:sz w:val="24"/>
          <w:szCs w:val="24"/>
        </w:rPr>
      </w:pPr>
      <w:r w:rsidRPr="004D3845">
        <w:rPr>
          <w:bCs/>
          <w:spacing w:val="-4"/>
          <w:sz w:val="24"/>
          <w:szCs w:val="24"/>
        </w:rPr>
        <w:t>Одновременно выявляется значимый методологический и практический вызов: рост бюджетного финансирования не гарантирует пропорционального роста спроса на спортивные услуги, поскольку вовлеченность населения существенно зависит от уровня доходов и социально-экономической динамики территорий [1, C. 22]. Это требует переориентации мер государственной поддержки на комплексный подход, сочетающий инфраструктурные решения, адресные механизмы (включая грантовые), а также инструменты информационного воздействия.</w:t>
      </w:r>
    </w:p>
    <w:p w14:paraId="69AA94AB" w14:textId="77777777" w:rsidR="00857DC3" w:rsidRPr="004D3845" w:rsidRDefault="00857DC3" w:rsidP="00857DC3">
      <w:pPr>
        <w:ind w:left="851"/>
        <w:jc w:val="both"/>
        <w:rPr>
          <w:bCs/>
          <w:spacing w:val="-4"/>
          <w:sz w:val="24"/>
          <w:szCs w:val="24"/>
        </w:rPr>
      </w:pPr>
    </w:p>
    <w:p w14:paraId="616D2E61" w14:textId="30D96662" w:rsidR="00E22BF8" w:rsidRPr="004D3845" w:rsidRDefault="00857DC3" w:rsidP="00857DC3">
      <w:pPr>
        <w:ind w:left="851"/>
        <w:jc w:val="both"/>
        <w:rPr>
          <w:bCs/>
          <w:spacing w:val="-4"/>
          <w:sz w:val="24"/>
          <w:szCs w:val="24"/>
        </w:rPr>
      </w:pPr>
      <w:r w:rsidRPr="004D3845">
        <w:rPr>
          <w:bCs/>
          <w:spacing w:val="-4"/>
          <w:sz w:val="24"/>
          <w:szCs w:val="24"/>
        </w:rPr>
        <w:t>Перспективы повышения результативности государственной поддержки связаны с развитием программно-целевого управления и мониторинга, укреплением межуровневой координации, повышением прозрачности оценки результатов и расширением возможностей участия негосударственного сектора при сохранении стратегической роли государства в формировании условий для массовой физической активности населения</w:t>
      </w:r>
      <w:r w:rsidR="00324869" w:rsidRPr="004D3845">
        <w:rPr>
          <w:bCs/>
          <w:spacing w:val="-4"/>
          <w:sz w:val="24"/>
          <w:szCs w:val="24"/>
        </w:rPr>
        <w:t>.</w:t>
      </w:r>
    </w:p>
    <w:p w14:paraId="34992E0F" w14:textId="77777777" w:rsidR="00E22BF8" w:rsidRPr="004D3845" w:rsidRDefault="00E22BF8" w:rsidP="00E22BF8">
      <w:pPr>
        <w:pStyle w:val="a4"/>
        <w:spacing w:before="4"/>
        <w:ind w:left="0"/>
        <w:rPr>
          <w:sz w:val="24"/>
          <w:szCs w:val="24"/>
        </w:rPr>
      </w:pPr>
    </w:p>
    <w:p w14:paraId="7388C1B9" w14:textId="77777777" w:rsidR="00E22BF8" w:rsidRPr="004D3845" w:rsidRDefault="00E22BF8" w:rsidP="00E22BF8">
      <w:pPr>
        <w:spacing w:line="275" w:lineRule="exact"/>
        <w:ind w:left="58" w:right="58"/>
        <w:jc w:val="center"/>
        <w:rPr>
          <w:b/>
          <w:sz w:val="24"/>
          <w:szCs w:val="24"/>
        </w:rPr>
      </w:pPr>
      <w:r w:rsidRPr="004D3845">
        <w:rPr>
          <w:b/>
          <w:color w:val="000009"/>
          <w:spacing w:val="-2"/>
          <w:sz w:val="24"/>
          <w:szCs w:val="24"/>
        </w:rPr>
        <w:t>Литература</w:t>
      </w:r>
    </w:p>
    <w:p w14:paraId="607CD2F6" w14:textId="77777777" w:rsidR="00E22BF8" w:rsidRPr="004D3845" w:rsidRDefault="00E22BF8" w:rsidP="00E22BF8">
      <w:pPr>
        <w:spacing w:line="275" w:lineRule="exact"/>
        <w:ind w:left="58" w:right="58"/>
        <w:jc w:val="center"/>
        <w:rPr>
          <w:b/>
          <w:sz w:val="24"/>
          <w:szCs w:val="24"/>
        </w:rPr>
      </w:pPr>
    </w:p>
    <w:p w14:paraId="428D6D04" w14:textId="77777777" w:rsidR="00857DC3" w:rsidRPr="004D3845" w:rsidRDefault="00E22BF8" w:rsidP="00D52031">
      <w:pPr>
        <w:pStyle w:val="a6"/>
        <w:numPr>
          <w:ilvl w:val="0"/>
          <w:numId w:val="2"/>
        </w:numPr>
        <w:tabs>
          <w:tab w:val="left" w:pos="1072"/>
        </w:tabs>
        <w:ind w:left="720" w:right="136" w:firstLine="0"/>
        <w:rPr>
          <w:sz w:val="24"/>
          <w:szCs w:val="24"/>
        </w:rPr>
      </w:pPr>
      <w:r w:rsidRPr="004D3845">
        <w:rPr>
          <w:sz w:val="24"/>
          <w:szCs w:val="24"/>
        </w:rPr>
        <w:t xml:space="preserve"> </w:t>
      </w:r>
      <w:r w:rsidR="00857DC3" w:rsidRPr="004D3845">
        <w:rPr>
          <w:sz w:val="24"/>
          <w:szCs w:val="24"/>
        </w:rPr>
        <w:t>Аркалов, Д.П. Уровень жизни и спрос на спорт // Государственное управление. Электронный вестник. – 2025. – № 111. – С. 22–38.</w:t>
      </w:r>
    </w:p>
    <w:p w14:paraId="469C0BD8" w14:textId="77777777" w:rsidR="00857DC3" w:rsidRPr="004D3845" w:rsidRDefault="00857DC3" w:rsidP="00D52031">
      <w:pPr>
        <w:pStyle w:val="a6"/>
        <w:tabs>
          <w:tab w:val="left" w:pos="1072"/>
        </w:tabs>
        <w:ind w:left="720" w:right="136" w:firstLine="0"/>
        <w:rPr>
          <w:sz w:val="24"/>
          <w:szCs w:val="24"/>
        </w:rPr>
      </w:pPr>
    </w:p>
    <w:p w14:paraId="08BC176C" w14:textId="4FEF6EDF" w:rsidR="00857DC3" w:rsidRDefault="007C682E" w:rsidP="00982C98">
      <w:pPr>
        <w:pStyle w:val="a6"/>
        <w:numPr>
          <w:ilvl w:val="0"/>
          <w:numId w:val="2"/>
        </w:numPr>
        <w:tabs>
          <w:tab w:val="left" w:pos="1072"/>
        </w:tabs>
        <w:ind w:left="720" w:right="136" w:firstLine="0"/>
        <w:rPr>
          <w:sz w:val="24"/>
          <w:szCs w:val="24"/>
        </w:rPr>
      </w:pPr>
      <w:r w:rsidRPr="007C682E">
        <w:rPr>
          <w:sz w:val="24"/>
          <w:szCs w:val="24"/>
        </w:rPr>
        <w:t>Постановление Правительства РФ от 30.09.2021 № 1661 «Об утверждении государственной программы Российской Федерации «Развитие физической культуры и спорта»</w:t>
      </w:r>
      <w:r w:rsidR="00857DC3" w:rsidRPr="009D3E34">
        <w:rPr>
          <w:sz w:val="24"/>
          <w:szCs w:val="24"/>
        </w:rPr>
        <w:t xml:space="preserve">. </w:t>
      </w:r>
    </w:p>
    <w:p w14:paraId="6AFD3C09" w14:textId="77777777" w:rsidR="009D3E34" w:rsidRPr="009D3E34" w:rsidRDefault="009D3E34" w:rsidP="009D3E34">
      <w:pPr>
        <w:tabs>
          <w:tab w:val="left" w:pos="1072"/>
        </w:tabs>
        <w:ind w:left="720" w:right="136"/>
        <w:rPr>
          <w:sz w:val="24"/>
          <w:szCs w:val="24"/>
        </w:rPr>
      </w:pPr>
    </w:p>
    <w:p w14:paraId="32DB2FED" w14:textId="7775F3F9" w:rsidR="00857DC3" w:rsidRPr="004D3845" w:rsidRDefault="00045C30" w:rsidP="00D52031">
      <w:pPr>
        <w:pStyle w:val="a6"/>
        <w:numPr>
          <w:ilvl w:val="0"/>
          <w:numId w:val="2"/>
        </w:numPr>
        <w:tabs>
          <w:tab w:val="left" w:pos="1072"/>
        </w:tabs>
        <w:ind w:left="720" w:right="136" w:firstLine="0"/>
        <w:rPr>
          <w:sz w:val="24"/>
          <w:szCs w:val="24"/>
        </w:rPr>
      </w:pPr>
      <w:r w:rsidRPr="00045C30">
        <w:rPr>
          <w:sz w:val="24"/>
          <w:szCs w:val="24"/>
        </w:rPr>
        <w:t xml:space="preserve">Государственная программа Российской Федерации «Развитие физической культуры и спорта», утвержденная постановлением Правительства Российской Федерации от </w:t>
      </w:r>
      <w:r>
        <w:rPr>
          <w:sz w:val="24"/>
          <w:szCs w:val="24"/>
        </w:rPr>
        <w:t>30</w:t>
      </w:r>
      <w:r w:rsidRPr="00045C30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Pr="00045C30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045C30">
        <w:rPr>
          <w:sz w:val="24"/>
          <w:szCs w:val="24"/>
        </w:rPr>
        <w:t xml:space="preserve"> г. № </w:t>
      </w:r>
      <w:r>
        <w:rPr>
          <w:sz w:val="24"/>
          <w:szCs w:val="24"/>
        </w:rPr>
        <w:t>1661</w:t>
      </w:r>
      <w:r w:rsidRPr="00045C30">
        <w:rPr>
          <w:sz w:val="24"/>
          <w:szCs w:val="24"/>
        </w:rPr>
        <w:t xml:space="preserve"> [Электронный ресурс]: СПС «Консультант Плюс»</w:t>
      </w:r>
      <w:r w:rsidR="00911653" w:rsidRPr="00911653">
        <w:rPr>
          <w:sz w:val="24"/>
          <w:szCs w:val="24"/>
        </w:rPr>
        <w:t>)</w:t>
      </w:r>
      <w:r w:rsidR="00857DC3" w:rsidRPr="004D3845">
        <w:rPr>
          <w:sz w:val="24"/>
          <w:szCs w:val="24"/>
        </w:rPr>
        <w:t xml:space="preserve">. </w:t>
      </w:r>
    </w:p>
    <w:p w14:paraId="1DCA5896" w14:textId="77777777" w:rsidR="00857DC3" w:rsidRPr="004D3845" w:rsidRDefault="00857DC3" w:rsidP="00D52031">
      <w:pPr>
        <w:pStyle w:val="a6"/>
        <w:tabs>
          <w:tab w:val="left" w:pos="1072"/>
        </w:tabs>
        <w:ind w:left="720" w:right="136" w:firstLine="0"/>
        <w:rPr>
          <w:sz w:val="24"/>
          <w:szCs w:val="24"/>
        </w:rPr>
      </w:pPr>
    </w:p>
    <w:p w14:paraId="76B542E3" w14:textId="4A7E17CE" w:rsidR="00857DC3" w:rsidRPr="004D3845" w:rsidRDefault="00857DC3" w:rsidP="00D52031">
      <w:pPr>
        <w:pStyle w:val="a6"/>
        <w:numPr>
          <w:ilvl w:val="0"/>
          <w:numId w:val="2"/>
        </w:numPr>
        <w:tabs>
          <w:tab w:val="left" w:pos="1072"/>
        </w:tabs>
        <w:ind w:left="720" w:right="136" w:firstLine="0"/>
        <w:rPr>
          <w:sz w:val="24"/>
          <w:szCs w:val="24"/>
        </w:rPr>
      </w:pPr>
      <w:r w:rsidRPr="004D3845">
        <w:rPr>
          <w:sz w:val="24"/>
          <w:szCs w:val="24"/>
        </w:rPr>
        <w:t xml:space="preserve">Давыдова, Е.В. Регулирование вопросов развития физической культуры и спорта в России // Вектор экономики. – 2025. – № 11. – </w:t>
      </w:r>
      <w:r w:rsidR="005A7336" w:rsidRPr="004D3845">
        <w:rPr>
          <w:sz w:val="24"/>
          <w:szCs w:val="24"/>
        </w:rPr>
        <w:t>С. 1-</w:t>
      </w:r>
      <w:r w:rsidRPr="004D3845">
        <w:rPr>
          <w:sz w:val="24"/>
          <w:szCs w:val="24"/>
        </w:rPr>
        <w:t>6 с.</w:t>
      </w:r>
    </w:p>
    <w:p w14:paraId="22D3FAD9" w14:textId="77777777" w:rsidR="00857DC3" w:rsidRPr="004D3845" w:rsidRDefault="00857DC3" w:rsidP="00D52031">
      <w:pPr>
        <w:pStyle w:val="a6"/>
        <w:tabs>
          <w:tab w:val="left" w:pos="1072"/>
        </w:tabs>
        <w:ind w:left="720" w:right="136" w:firstLine="0"/>
        <w:rPr>
          <w:sz w:val="24"/>
          <w:szCs w:val="24"/>
        </w:rPr>
      </w:pPr>
    </w:p>
    <w:p w14:paraId="394B1E64" w14:textId="6F4439B4" w:rsidR="00857DC3" w:rsidRPr="004D3845" w:rsidRDefault="00857DC3" w:rsidP="00D52031">
      <w:pPr>
        <w:pStyle w:val="a6"/>
        <w:numPr>
          <w:ilvl w:val="0"/>
          <w:numId w:val="2"/>
        </w:numPr>
        <w:tabs>
          <w:tab w:val="left" w:pos="1072"/>
        </w:tabs>
        <w:ind w:left="720" w:right="136" w:firstLine="0"/>
        <w:rPr>
          <w:sz w:val="24"/>
          <w:szCs w:val="24"/>
        </w:rPr>
      </w:pPr>
      <w:r w:rsidRPr="004D3845">
        <w:rPr>
          <w:sz w:val="24"/>
          <w:szCs w:val="24"/>
        </w:rPr>
        <w:t xml:space="preserve">Лукащук, В.И. Стратегическое планирование развития физической культуры и спорта на региональном уровне // Вектор экономики. – 2022. – № 5. – </w:t>
      </w:r>
      <w:r w:rsidR="00E94B84" w:rsidRPr="004D3845">
        <w:rPr>
          <w:sz w:val="24"/>
          <w:szCs w:val="24"/>
        </w:rPr>
        <w:t>С. 1-13.</w:t>
      </w:r>
    </w:p>
    <w:p w14:paraId="11D9A7B7" w14:textId="77777777" w:rsidR="00857DC3" w:rsidRPr="004D3845" w:rsidRDefault="00857DC3" w:rsidP="00D52031">
      <w:pPr>
        <w:pStyle w:val="a6"/>
        <w:tabs>
          <w:tab w:val="left" w:pos="1072"/>
        </w:tabs>
        <w:ind w:left="720" w:right="136" w:firstLine="0"/>
        <w:rPr>
          <w:sz w:val="24"/>
          <w:szCs w:val="24"/>
        </w:rPr>
      </w:pPr>
    </w:p>
    <w:p w14:paraId="6603D299" w14:textId="26C94AFE" w:rsidR="00857DC3" w:rsidRPr="004D3845" w:rsidRDefault="00857DC3" w:rsidP="00D52031">
      <w:pPr>
        <w:pStyle w:val="a6"/>
        <w:numPr>
          <w:ilvl w:val="0"/>
          <w:numId w:val="2"/>
        </w:numPr>
        <w:tabs>
          <w:tab w:val="left" w:pos="1072"/>
        </w:tabs>
        <w:ind w:left="720" w:right="136" w:firstLine="0"/>
        <w:rPr>
          <w:sz w:val="24"/>
          <w:szCs w:val="24"/>
        </w:rPr>
      </w:pPr>
      <w:r w:rsidRPr="004D3845">
        <w:rPr>
          <w:sz w:val="24"/>
          <w:szCs w:val="24"/>
        </w:rPr>
        <w:lastRenderedPageBreak/>
        <w:t xml:space="preserve">Маковеев, В.Н. Физическая культура и спорт как объект государственного управления / В.Н. Маковеев, Н.Л. Шемякин // Вектор экономики. – 2023. – № 11. – </w:t>
      </w:r>
      <w:r w:rsidR="00FF6A4D" w:rsidRPr="004D3845">
        <w:rPr>
          <w:sz w:val="24"/>
          <w:szCs w:val="24"/>
        </w:rPr>
        <w:t>С. 1-</w:t>
      </w:r>
      <w:r w:rsidRPr="004D3845">
        <w:rPr>
          <w:sz w:val="24"/>
          <w:szCs w:val="24"/>
        </w:rPr>
        <w:t>10.</w:t>
      </w:r>
    </w:p>
    <w:p w14:paraId="3BB31D7C" w14:textId="77777777" w:rsidR="00857DC3" w:rsidRPr="004D3845" w:rsidRDefault="00857DC3" w:rsidP="00D52031">
      <w:pPr>
        <w:pStyle w:val="a6"/>
        <w:tabs>
          <w:tab w:val="left" w:pos="1072"/>
        </w:tabs>
        <w:ind w:left="720" w:right="136" w:firstLine="0"/>
        <w:rPr>
          <w:sz w:val="24"/>
          <w:szCs w:val="24"/>
        </w:rPr>
      </w:pPr>
    </w:p>
    <w:p w14:paraId="617EF915" w14:textId="628040B6" w:rsidR="00857DC3" w:rsidRPr="004D3845" w:rsidRDefault="00857DC3" w:rsidP="00D52031">
      <w:pPr>
        <w:pStyle w:val="a6"/>
        <w:numPr>
          <w:ilvl w:val="0"/>
          <w:numId w:val="2"/>
        </w:numPr>
        <w:tabs>
          <w:tab w:val="left" w:pos="1072"/>
        </w:tabs>
        <w:ind w:left="720" w:right="136" w:firstLine="0"/>
        <w:rPr>
          <w:sz w:val="24"/>
          <w:szCs w:val="24"/>
        </w:rPr>
      </w:pPr>
      <w:r w:rsidRPr="004D3845">
        <w:rPr>
          <w:sz w:val="24"/>
          <w:szCs w:val="24"/>
        </w:rPr>
        <w:t xml:space="preserve">«О физической культуре и спорте в Российской Федерации»: федеральный закон от 04.12.2007 № 329‑ФЗ </w:t>
      </w:r>
      <w:r w:rsidR="0094680A" w:rsidRPr="002927C8">
        <w:rPr>
          <w:sz w:val="24"/>
          <w:szCs w:val="24"/>
        </w:rPr>
        <w:t>(действующая ред.) // Собрание законодательства РФ.</w:t>
      </w:r>
    </w:p>
    <w:p w14:paraId="5F268F11" w14:textId="77777777" w:rsidR="00857DC3" w:rsidRPr="004D3845" w:rsidRDefault="00857DC3" w:rsidP="00D52031">
      <w:pPr>
        <w:pStyle w:val="a6"/>
        <w:tabs>
          <w:tab w:val="left" w:pos="1072"/>
        </w:tabs>
        <w:ind w:left="720" w:right="136" w:firstLine="0"/>
        <w:rPr>
          <w:sz w:val="24"/>
          <w:szCs w:val="24"/>
        </w:rPr>
      </w:pPr>
    </w:p>
    <w:p w14:paraId="654B635A" w14:textId="77777777" w:rsidR="00857DC3" w:rsidRPr="004D3845" w:rsidRDefault="00857DC3" w:rsidP="00D52031">
      <w:pPr>
        <w:pStyle w:val="a6"/>
        <w:numPr>
          <w:ilvl w:val="0"/>
          <w:numId w:val="2"/>
        </w:numPr>
        <w:tabs>
          <w:tab w:val="left" w:pos="1072"/>
        </w:tabs>
        <w:ind w:left="720" w:right="136" w:firstLine="0"/>
        <w:rPr>
          <w:sz w:val="24"/>
          <w:szCs w:val="24"/>
        </w:rPr>
      </w:pPr>
      <w:r w:rsidRPr="004D3845">
        <w:rPr>
          <w:sz w:val="24"/>
          <w:szCs w:val="24"/>
        </w:rPr>
        <w:t>Распоряжение Правительства РФ от 24.11.2020 № 3081‑р «Об утверждении Стратегии развития физической культуры и спорта в Российской Федерации на период до 2030 года».</w:t>
      </w:r>
    </w:p>
    <w:p w14:paraId="182F6E48" w14:textId="77777777" w:rsidR="00857DC3" w:rsidRPr="004D3845" w:rsidRDefault="00857DC3" w:rsidP="00D52031">
      <w:pPr>
        <w:pStyle w:val="a6"/>
        <w:tabs>
          <w:tab w:val="left" w:pos="1072"/>
        </w:tabs>
        <w:ind w:left="720" w:right="136" w:firstLine="0"/>
        <w:rPr>
          <w:sz w:val="24"/>
          <w:szCs w:val="24"/>
        </w:rPr>
      </w:pPr>
    </w:p>
    <w:p w14:paraId="03A054AA" w14:textId="0625B988" w:rsidR="00857DC3" w:rsidRDefault="009C59BC" w:rsidP="00997AF5">
      <w:pPr>
        <w:pStyle w:val="a6"/>
        <w:numPr>
          <w:ilvl w:val="0"/>
          <w:numId w:val="2"/>
        </w:numPr>
        <w:tabs>
          <w:tab w:val="left" w:pos="1072"/>
        </w:tabs>
        <w:ind w:left="720" w:right="136" w:firstLine="0"/>
        <w:rPr>
          <w:sz w:val="24"/>
          <w:szCs w:val="24"/>
        </w:rPr>
      </w:pPr>
      <w:r>
        <w:rPr>
          <w:sz w:val="24"/>
          <w:szCs w:val="24"/>
        </w:rPr>
        <w:t>Паспорт ф</w:t>
      </w:r>
      <w:r w:rsidR="00857DC3" w:rsidRPr="009D3E34">
        <w:rPr>
          <w:sz w:val="24"/>
          <w:szCs w:val="24"/>
        </w:rPr>
        <w:t>едеральный проект</w:t>
      </w:r>
      <w:r>
        <w:rPr>
          <w:sz w:val="24"/>
          <w:szCs w:val="24"/>
        </w:rPr>
        <w:t>а</w:t>
      </w:r>
      <w:r w:rsidR="00857DC3" w:rsidRPr="009D3E34">
        <w:rPr>
          <w:sz w:val="24"/>
          <w:szCs w:val="24"/>
        </w:rPr>
        <w:t xml:space="preserve"> «Развитие физической культуры и массового спорта» </w:t>
      </w:r>
      <w:r w:rsidRPr="009C59BC">
        <w:rPr>
          <w:sz w:val="24"/>
          <w:szCs w:val="24"/>
        </w:rPr>
        <w:t>[</w:t>
      </w:r>
      <w:r>
        <w:rPr>
          <w:sz w:val="24"/>
          <w:szCs w:val="24"/>
        </w:rPr>
        <w:t>Электронный ресурс</w:t>
      </w:r>
      <w:r w:rsidRPr="009C59BC">
        <w:rPr>
          <w:sz w:val="24"/>
          <w:szCs w:val="24"/>
        </w:rPr>
        <w:t>]</w:t>
      </w:r>
      <w:r>
        <w:rPr>
          <w:sz w:val="24"/>
          <w:szCs w:val="24"/>
        </w:rPr>
        <w:t>: официальный сайт Министерства спорта Российской Федерации</w:t>
      </w:r>
      <w:r w:rsidR="00857DC3" w:rsidRPr="009D3E34">
        <w:rPr>
          <w:sz w:val="24"/>
          <w:szCs w:val="24"/>
        </w:rPr>
        <w:t xml:space="preserve">. </w:t>
      </w:r>
    </w:p>
    <w:p w14:paraId="1A369E37" w14:textId="77777777" w:rsidR="009D3E34" w:rsidRPr="009D3E34" w:rsidRDefault="009D3E34" w:rsidP="009D3E34">
      <w:pPr>
        <w:pStyle w:val="a6"/>
        <w:tabs>
          <w:tab w:val="left" w:pos="1072"/>
        </w:tabs>
        <w:ind w:left="720" w:right="136" w:firstLine="0"/>
        <w:rPr>
          <w:sz w:val="24"/>
          <w:szCs w:val="24"/>
        </w:rPr>
      </w:pPr>
    </w:p>
    <w:p w14:paraId="00D578F2" w14:textId="7593E766" w:rsidR="001F018B" w:rsidRDefault="00911653" w:rsidP="00D52031">
      <w:pPr>
        <w:pStyle w:val="a6"/>
        <w:numPr>
          <w:ilvl w:val="0"/>
          <w:numId w:val="2"/>
        </w:numPr>
        <w:tabs>
          <w:tab w:val="left" w:pos="1072"/>
        </w:tabs>
        <w:ind w:left="720" w:right="136" w:firstLine="0"/>
        <w:rPr>
          <w:sz w:val="24"/>
          <w:szCs w:val="24"/>
        </w:rPr>
      </w:pPr>
      <w:r w:rsidRPr="00911653">
        <w:rPr>
          <w:sz w:val="24"/>
          <w:szCs w:val="24"/>
        </w:rPr>
        <w:t>Паспорт федерального проекта «Спорт – норма жизни»  [Электронный ресурс]: официальный сайт Министерства спорта Российской Федерации</w:t>
      </w:r>
      <w:r w:rsidR="00857DC3" w:rsidRPr="004D3845">
        <w:rPr>
          <w:sz w:val="24"/>
          <w:szCs w:val="24"/>
        </w:rPr>
        <w:t xml:space="preserve">. </w:t>
      </w:r>
    </w:p>
    <w:p w14:paraId="7C416570" w14:textId="77777777" w:rsidR="009D3E34" w:rsidRPr="004D3845" w:rsidRDefault="009D3E34" w:rsidP="009D3E34">
      <w:pPr>
        <w:pStyle w:val="a6"/>
        <w:tabs>
          <w:tab w:val="left" w:pos="1072"/>
        </w:tabs>
        <w:ind w:left="720" w:right="136" w:firstLine="0"/>
        <w:rPr>
          <w:sz w:val="24"/>
          <w:szCs w:val="24"/>
        </w:rPr>
      </w:pPr>
    </w:p>
    <w:sectPr w:rsidR="009D3E34" w:rsidRPr="004D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083"/>
    <w:multiLevelType w:val="hybridMultilevel"/>
    <w:tmpl w:val="7D08102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D8783B"/>
    <w:multiLevelType w:val="hybridMultilevel"/>
    <w:tmpl w:val="6BA05DD6"/>
    <w:lvl w:ilvl="0" w:tplc="35A089D0">
      <w:start w:val="1"/>
      <w:numFmt w:val="decimal"/>
      <w:lvlText w:val="%1."/>
      <w:lvlJc w:val="left"/>
      <w:pPr>
        <w:ind w:left="14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0BD9A">
      <w:numFmt w:val="bullet"/>
      <w:lvlText w:val="•"/>
      <w:lvlJc w:val="left"/>
      <w:pPr>
        <w:ind w:left="1090" w:hanging="231"/>
      </w:pPr>
      <w:rPr>
        <w:lang w:val="ru-RU" w:eastAsia="en-US" w:bidi="ar-SA"/>
      </w:rPr>
    </w:lvl>
    <w:lvl w:ilvl="2" w:tplc="39BA26CA">
      <w:numFmt w:val="bullet"/>
      <w:lvlText w:val="•"/>
      <w:lvlJc w:val="left"/>
      <w:pPr>
        <w:ind w:left="2040" w:hanging="231"/>
      </w:pPr>
      <w:rPr>
        <w:lang w:val="ru-RU" w:eastAsia="en-US" w:bidi="ar-SA"/>
      </w:rPr>
    </w:lvl>
    <w:lvl w:ilvl="3" w:tplc="9CCA8986">
      <w:numFmt w:val="bullet"/>
      <w:lvlText w:val="•"/>
      <w:lvlJc w:val="left"/>
      <w:pPr>
        <w:ind w:left="2991" w:hanging="231"/>
      </w:pPr>
      <w:rPr>
        <w:lang w:val="ru-RU" w:eastAsia="en-US" w:bidi="ar-SA"/>
      </w:rPr>
    </w:lvl>
    <w:lvl w:ilvl="4" w:tplc="826AA0C4">
      <w:numFmt w:val="bullet"/>
      <w:lvlText w:val="•"/>
      <w:lvlJc w:val="left"/>
      <w:pPr>
        <w:ind w:left="3941" w:hanging="231"/>
      </w:pPr>
      <w:rPr>
        <w:lang w:val="ru-RU" w:eastAsia="en-US" w:bidi="ar-SA"/>
      </w:rPr>
    </w:lvl>
    <w:lvl w:ilvl="5" w:tplc="249251B4">
      <w:numFmt w:val="bullet"/>
      <w:lvlText w:val="•"/>
      <w:lvlJc w:val="left"/>
      <w:pPr>
        <w:ind w:left="4892" w:hanging="231"/>
      </w:pPr>
      <w:rPr>
        <w:lang w:val="ru-RU" w:eastAsia="en-US" w:bidi="ar-SA"/>
      </w:rPr>
    </w:lvl>
    <w:lvl w:ilvl="6" w:tplc="E8D2607A">
      <w:numFmt w:val="bullet"/>
      <w:lvlText w:val="•"/>
      <w:lvlJc w:val="left"/>
      <w:pPr>
        <w:ind w:left="5842" w:hanging="231"/>
      </w:pPr>
      <w:rPr>
        <w:lang w:val="ru-RU" w:eastAsia="en-US" w:bidi="ar-SA"/>
      </w:rPr>
    </w:lvl>
    <w:lvl w:ilvl="7" w:tplc="A1B4241A">
      <w:numFmt w:val="bullet"/>
      <w:lvlText w:val="•"/>
      <w:lvlJc w:val="left"/>
      <w:pPr>
        <w:ind w:left="6792" w:hanging="231"/>
      </w:pPr>
      <w:rPr>
        <w:lang w:val="ru-RU" w:eastAsia="en-US" w:bidi="ar-SA"/>
      </w:rPr>
    </w:lvl>
    <w:lvl w:ilvl="8" w:tplc="74A09CC4">
      <w:numFmt w:val="bullet"/>
      <w:lvlText w:val="•"/>
      <w:lvlJc w:val="left"/>
      <w:pPr>
        <w:ind w:left="7743" w:hanging="23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0B"/>
    <w:rsid w:val="00034812"/>
    <w:rsid w:val="00045C30"/>
    <w:rsid w:val="00141F82"/>
    <w:rsid w:val="001E4CBD"/>
    <w:rsid w:val="001F018B"/>
    <w:rsid w:val="00324869"/>
    <w:rsid w:val="00432A6D"/>
    <w:rsid w:val="00445FE2"/>
    <w:rsid w:val="004D3845"/>
    <w:rsid w:val="004E269D"/>
    <w:rsid w:val="00513829"/>
    <w:rsid w:val="005A7336"/>
    <w:rsid w:val="007B1B32"/>
    <w:rsid w:val="007C682E"/>
    <w:rsid w:val="00857DC3"/>
    <w:rsid w:val="008D070B"/>
    <w:rsid w:val="00911653"/>
    <w:rsid w:val="0094680A"/>
    <w:rsid w:val="00981999"/>
    <w:rsid w:val="009C59BC"/>
    <w:rsid w:val="009D3E34"/>
    <w:rsid w:val="00A86141"/>
    <w:rsid w:val="00B0481C"/>
    <w:rsid w:val="00B41841"/>
    <w:rsid w:val="00BA18ED"/>
    <w:rsid w:val="00C0465C"/>
    <w:rsid w:val="00C054AA"/>
    <w:rsid w:val="00C2184F"/>
    <w:rsid w:val="00D10835"/>
    <w:rsid w:val="00D22569"/>
    <w:rsid w:val="00D52031"/>
    <w:rsid w:val="00D67961"/>
    <w:rsid w:val="00D96A26"/>
    <w:rsid w:val="00E22BF8"/>
    <w:rsid w:val="00E94B84"/>
    <w:rsid w:val="00EC7139"/>
    <w:rsid w:val="00F01FAB"/>
    <w:rsid w:val="00F03788"/>
    <w:rsid w:val="00F2009C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7B2D"/>
  <w15:chartTrackingRefBased/>
  <w15:docId w15:val="{EA047A47-22FE-4AE4-8F65-0E7C7299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BF8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E22BF8"/>
    <w:pPr>
      <w:ind w:left="143"/>
      <w:jc w:val="both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semiHidden/>
    <w:rsid w:val="00E22BF8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E22BF8"/>
    <w:pPr>
      <w:ind w:left="143" w:right="137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2312</Words>
  <Characters>13179</Characters>
  <Application>Microsoft Office Word</Application>
  <DocSecurity>0</DocSecurity>
  <Lines>109</Lines>
  <Paragraphs>30</Paragraphs>
  <ScaleCrop>false</ScaleCrop>
  <Company/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50</cp:revision>
  <dcterms:created xsi:type="dcterms:W3CDTF">2025-12-22T18:29:00Z</dcterms:created>
  <dcterms:modified xsi:type="dcterms:W3CDTF">2025-12-23T15:06:00Z</dcterms:modified>
</cp:coreProperties>
</file>