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321D05" w14:textId="68DF284C" w:rsidR="004C52F2" w:rsidRPr="006E1E41" w:rsidRDefault="0071467E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УДК</w:t>
      </w:r>
      <w:r w:rsidR="00016BE7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376</w:t>
      </w:r>
      <w:r w:rsidR="00016BE7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37</w:t>
      </w:r>
    </w:p>
    <w:p w14:paraId="5BA2FA54" w14:textId="348FBF5D" w:rsidR="004C52F2" w:rsidRPr="006E1E41" w:rsidRDefault="006E1E41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Профилактика дисграфии у младших школьников средствами интеллектуально-развивающих игр</w:t>
      </w:r>
    </w:p>
    <w:p w14:paraId="52C3F13D" w14:textId="77777777" w:rsidR="006E1E41" w:rsidRPr="006E1E41" w:rsidRDefault="006E1E41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0507B42B" w14:textId="4E38B0D9" w:rsidR="004C52F2" w:rsidRPr="006E1E41" w:rsidRDefault="006E1E41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Prevention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of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dysgraphia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in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primary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schoolchildren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by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means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of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intellectual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and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educational</w:t>
      </w:r>
      <w:proofErr w:type="spellEnd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games</w:t>
      </w:r>
      <w:proofErr w:type="spellEnd"/>
    </w:p>
    <w:p w14:paraId="4DFBEC25" w14:textId="77777777" w:rsidR="006E1E41" w:rsidRPr="006E1E41" w:rsidRDefault="006E1E41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349376DD" w14:textId="08EA1DC6" w:rsidR="004C52F2" w:rsidRPr="006E1E41" w:rsidRDefault="006E1E41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r w:rsidRPr="006E1E41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Мохова Дарья Александровна</w:t>
      </w:r>
    </w:p>
    <w:p w14:paraId="3ED1A413" w14:textId="77777777" w:rsidR="006E1E41" w:rsidRPr="006E1E41" w:rsidRDefault="006E1E41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A893D2D" w14:textId="45750BA9" w:rsidR="004C52F2" w:rsidRPr="006E1E41" w:rsidRDefault="006E1E41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</w:pPr>
      <w:proofErr w:type="spellStart"/>
      <w:r w:rsidRPr="006E1E41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Mokhova</w:t>
      </w:r>
      <w:proofErr w:type="spellEnd"/>
      <w:r w:rsidRPr="006E1E41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Daria</w:t>
      </w:r>
      <w:proofErr w:type="spellEnd"/>
      <w:r w:rsidRPr="006E1E41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</w:rPr>
        <w:t>Alexandrovna</w:t>
      </w:r>
      <w:proofErr w:type="spellEnd"/>
    </w:p>
    <w:p w14:paraId="49B80AB1" w14:textId="77777777" w:rsidR="006E1E41" w:rsidRPr="006E1E41" w:rsidRDefault="006E1E41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7DFCECA4" w14:textId="4E7789FD" w:rsidR="004C52F2" w:rsidRPr="006E1E41" w:rsidRDefault="004C52F2" w:rsidP="004C52F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студент</w:t>
      </w:r>
      <w:r w:rsidR="006E1E41"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ка</w:t>
      </w:r>
      <w:r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r w:rsidR="006E1E41"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4</w:t>
      </w:r>
      <w:r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курса</w:t>
      </w:r>
    </w:p>
    <w:p w14:paraId="6B0F552C" w14:textId="77777777" w:rsidR="004C52F2" w:rsidRPr="006E1E41" w:rsidRDefault="004C52F2" w:rsidP="004C52F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Волгоградского государственного социально–педагогического университета</w:t>
      </w:r>
    </w:p>
    <w:p w14:paraId="46437417" w14:textId="403E3622" w:rsidR="00583C47" w:rsidRPr="006E1E41" w:rsidRDefault="006E1E41" w:rsidP="00583C4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r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4th</w:t>
      </w:r>
      <w:r w:rsidR="00583C47"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583C47"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year</w:t>
      </w:r>
      <w:proofErr w:type="spellEnd"/>
      <w:r w:rsidR="00583C47"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</w:t>
      </w:r>
      <w:proofErr w:type="spellStart"/>
      <w:r w:rsidR="00583C47"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student</w:t>
      </w:r>
      <w:proofErr w:type="spellEnd"/>
    </w:p>
    <w:p w14:paraId="24C980FB" w14:textId="77777777" w:rsidR="00583C47" w:rsidRPr="006E1E41" w:rsidRDefault="00583C47" w:rsidP="00583C47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  <w:proofErr w:type="spellStart"/>
      <w:r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Volgograd</w:t>
      </w:r>
      <w:proofErr w:type="spellEnd"/>
      <w:r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State Social </w:t>
      </w:r>
      <w:proofErr w:type="spellStart"/>
      <w:r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>Pedagogical</w:t>
      </w:r>
      <w:proofErr w:type="spellEnd"/>
      <w:r w:rsidRPr="006E1E41"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  <w:t xml:space="preserve"> University</w:t>
      </w:r>
    </w:p>
    <w:p w14:paraId="6165E2DD" w14:textId="77777777" w:rsidR="004C52F2" w:rsidRPr="006E1E41" w:rsidRDefault="004C52F2" w:rsidP="004C52F2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</w:rPr>
      </w:pPr>
    </w:p>
    <w:p w14:paraId="1CBD35A5" w14:textId="77777777" w:rsidR="004C52F2" w:rsidRPr="006E1E41" w:rsidRDefault="004C52F2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1BFAA00" w14:textId="77777777" w:rsidR="004C52F2" w:rsidRPr="006E1E41" w:rsidRDefault="004C52F2" w:rsidP="004C5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</w:p>
    <w:p w14:paraId="27B41657" w14:textId="5AE1C8FD" w:rsidR="00180034" w:rsidRPr="006E1E41" w:rsidRDefault="009A180E" w:rsidP="0018003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Аннотация.</w:t>
      </w: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В статье рассматривается проблема профилактики дисграфии — стойкого нарушения письма — у учащихся младших классов. Автор анализирует теоретические основы возникновения данного расстройства и обосновывает эффективность использования интеллектуально-развивающих игр как средства предупреждения специфических ошибок на письме. В статье представлены результаты экспериментального исследования, доказывающие, что систематическое применение игровых методик позволяет комплексно развивать фонематическое восприятие, навыки звукового анализа и зрительно-пространственные представления, составляющие базу грамотного письма.</w:t>
      </w:r>
    </w:p>
    <w:p w14:paraId="49B11F6E" w14:textId="77777777" w:rsidR="006E1E41" w:rsidRPr="006E1E41" w:rsidRDefault="006E1E41" w:rsidP="0018003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ECAF36" w14:textId="77777777" w:rsidR="006E1E41" w:rsidRPr="006E1E41" w:rsidRDefault="00BE4CFB" w:rsidP="0018003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6E1E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Annotation</w:t>
      </w:r>
      <w:proofErr w:type="spellEnd"/>
      <w:r w:rsidRPr="006E1E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</w:t>
      </w: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The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article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deals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with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problem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prevention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dysgraphia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a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persistent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writing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disorder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—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in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primary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school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children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The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author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analyzes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theoretical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foundations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this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disorder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and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substantiates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effectiveness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using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intellectual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and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educational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games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means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preventing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specific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writing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errors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14:paraId="50CD1E48" w14:textId="0E43CBC3" w:rsidR="009A180E" w:rsidRPr="006E1E41" w:rsidRDefault="006E1E41" w:rsidP="00180034">
      <w:pPr>
        <w:pStyle w:val="a3"/>
        <w:spacing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The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article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presents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results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an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experimental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study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proving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that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systematic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use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gaming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techniques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allows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for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comprehensive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development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phonemic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perception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sound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analysis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skills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and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visual-spatial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representations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that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form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basis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competent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writing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DB28B9A" w14:textId="77777777" w:rsidR="006E1E41" w:rsidRPr="006E1E41" w:rsidRDefault="00123173" w:rsidP="00123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Ключевые слова: </w:t>
      </w:r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дисграфия, младшие школьники, профилактика нарушений письма, интеллектуально-развивающие игры, фонематический слух, зрительно-пространственные представления.</w:t>
      </w:r>
    </w:p>
    <w:p w14:paraId="3910B795" w14:textId="44A348F2" w:rsidR="00A27C96" w:rsidRDefault="00123173" w:rsidP="001231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Key </w:t>
      </w:r>
      <w:proofErr w:type="spellStart"/>
      <w:r w:rsidRPr="006E1E41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words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dysgraphia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primary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schoolchildren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prevention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writing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disorders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intellectual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and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educational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games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phonemic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hearing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visual-spatial</w:t>
      </w:r>
      <w:proofErr w:type="spellEnd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6E1E41"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representations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7324514" w14:textId="77777777" w:rsidR="00A27C96" w:rsidRDefault="00A27C9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39B55443" w14:textId="77777777" w:rsidR="006E1E41" w:rsidRPr="006E1E41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В условиях модернизации системы образования особую значимость приобретает проблема предупреждения трудностей в овладении письменной речью у младших школьников. Дисграфия, представляющая собой стойкое специфическое нарушение процесса письма, выступает одним из наиболее распространенных препятствий для успешной академической успеваемости. Отсутствие своевременной профилактической работы может привести не только к устойчивым ошибкам на письме, но и к снижению учебной мотивации, росту школьной тревожности и дезадаптации ребенка [22, с. 12].</w:t>
      </w:r>
    </w:p>
    <w:p w14:paraId="67235710" w14:textId="15C45F4E" w:rsidR="00A27C96" w:rsidRPr="00A27C96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Теоретический анализ научной литературы позволяет рассматривать дисграфию как сложное, многофакторное расстройство, в основе которого лежит недостаточная сформированность высших психических функций, участвующих в процессе письма. Исследователи </w:t>
      </w:r>
      <w:proofErr w:type="gram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Р.Е.</w:t>
      </w:r>
      <w:proofErr w:type="gram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Левина, Т.В.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Ахутина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proofErr w:type="gram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А.Н.</w:t>
      </w:r>
      <w:proofErr w:type="gram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Корнев подчеркивают, что письмо является сложной функциональной системой, включающей речеслуховые,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речедвигательные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зрительные и регуляторные компоненты [12, с. 45; 1, с. 18; 9, с. 67]. Нарушения в любом из этих звеньев приводят к возникновению специфических ошибок. </w:t>
      </w:r>
      <w:proofErr w:type="gram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Р.И.</w:t>
      </w:r>
      <w:proofErr w:type="gram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Лалаева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развивая психолингвистический подход, выделяет несколько видов дисграфии: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артикуляторно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-акустическую, акустическую, дисграфию на почве нарушения языкового анализа и синтеза</w:t>
      </w:r>
      <w:r w:rsidR="00A27C96" w:rsidRPr="00A27C9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293FEE7" w14:textId="27E3BF01" w:rsidR="006E1E41" w:rsidRPr="006E1E41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И.Н.</w:t>
      </w:r>
      <w:proofErr w:type="gram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Садовникова дополняет эту классификацию, акцентируя внимание на трудностях зрительно-пространственного гнозиса и кинетических процессов [22, с. 28].</w:t>
      </w:r>
    </w:p>
    <w:p w14:paraId="7E77B36D" w14:textId="6AFCF873" w:rsidR="006E1E41" w:rsidRPr="000D6E77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Этиология данного расстройства носит полифакторный характер. К биологическим причинам относят перинатальные патологии, черепно-мозговые травмы, минимальную мозговую дисфункцию, наследственную предрасположенность [9, с. 89]. Социально-психологические факторы включают неблагоприятную речевую среду, билингвизм, педагогическую запущенность и высокий темп обучения [2, с. 117]. В связи с этим приоритетным направлением современной логопедии становится ранняя профилактика</w:t>
      </w:r>
      <w:r w:rsidR="000D6E77" w:rsidRPr="000D6E7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065D8431" w14:textId="77777777" w:rsidR="006E1E41" w:rsidRPr="006E1E41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Ключевую роль в системе профилактических мероприятий играет выбор адекватных возрасту средств. Интеллектуально-развивающие игры, по мнению </w:t>
      </w:r>
      <w:proofErr w:type="gram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А.В.</w:t>
      </w:r>
      <w:proofErr w:type="gram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Соболевой, представляют собой специально организованную деятельность, направленную на стимулирование умственного развития и формирование конкретных умственных действий: анализа, синтеза, сравнения, обобщения, пространственных представлений [24, с. 12]. Теоретической основой применения игровых методов служат положения </w:t>
      </w:r>
      <w:proofErr w:type="gram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Л.С.</w:t>
      </w:r>
      <w:proofErr w:type="gram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Выготского о «зоне ближайшего развития», где игра создает условия для выполнения действий, пока еще недоступных ребенку в самостоятельной деятельности [5, с. 410]. В младшем школьном возрасте, несмотря на смену ведущей деятельности, игра сохраняет свой развивающий и мотивационный потенциал.</w:t>
      </w:r>
    </w:p>
    <w:p w14:paraId="311851A3" w14:textId="77777777" w:rsidR="00A27C96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Потенциал интеллектуально-развивающих игр в профилактике дисграфии многогранен. Игры типа «Поймай звук», «Цепочка слов», «Звуковой поезд» тренируют фонематическое восприятие, дифференциацию акустически близких фонем, что служит профилактикой акустической дисграфии [10, с. 89]. </w:t>
      </w:r>
    </w:p>
    <w:p w14:paraId="6F91C798" w14:textId="77D13CD9" w:rsidR="006E1E41" w:rsidRPr="006E1E41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Для формирования зрительно-пространственных представлений, дефицит которых ведет к оптической дисграфии, незаменимы игры с конструкторами («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Танграм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», «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Колумбово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яйцо»), лабиринты, графические диктанты [18, с. 41; 14, с. 56]. Словесные игры («Скажи наоборот», «Один — много») обогащают словарный запас и предупреждают 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аграмматическую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дисграфию, а игры на внимание и память развивают регуляторные функции, необходимые для самоконтроля при письме [2, с. 203].</w:t>
      </w:r>
    </w:p>
    <w:p w14:paraId="53A7B39A" w14:textId="77777777" w:rsidR="00DC156D" w:rsidRDefault="006E1E41" w:rsidP="00A27C9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С целью проверки эффективности данного подхода на базе ГКОУ «Волгоградская ОШИ №6» было организовано экспериментальное исследование. В констатирующем этапе приняли участие 10 учащихся 1 класса в возрасте 7–8 лет. Диагностический инструментарий включал три методики: «Поймай звук» (оценка фонематического слуха), «Звуковой анализ слова» (оценка навыков звукового анализа)</w:t>
      </w:r>
      <w:r w:rsidR="00DC156D" w:rsidRPr="00DC156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29BDA7E" w14:textId="63A20F02" w:rsidR="006E1E41" w:rsidRPr="00DC156D" w:rsidRDefault="006E1E41" w:rsidP="00DC15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«Графический диктант» Д.Б. Эльконина (оценка зрительно-пространственных представлений и моторики). Результаты оценивались по трехуровневой системе [10; 22; 27].</w:t>
      </w:r>
    </w:p>
    <w:p w14:paraId="7019D9D4" w14:textId="77777777" w:rsidR="006E1E41" w:rsidRPr="006E1E41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Первичная диагностика выявила, что 50% детей имеют низкий уровень развития предпосылок письма, 40% — средний, и только 10% — высокий. Наиболее выраженные трудности были зафиксированы в развитии зрительно-пространственных представлений (60% детей с низким уровнем) и звукового анализа (30% детей с низким уровнем). Полученные данные подтвердили необходимость целенаправленной профилактической работы и позволили сформировать группу риска [22, с. 68].</w:t>
      </w:r>
    </w:p>
    <w:p w14:paraId="0A09C44B" w14:textId="77777777" w:rsidR="00A27C96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формирующем этапе была реализована программа, включающая 16 групповых занятий (2 раза в неделю по 30–35 минут). Работа строилась по трем направлениям с использованием комплекса интеллектуально-развивающих игр. Для развития фонематического слуха применялись игры «Поймай звук», «Эхо», «Исправь ошибку Незнайки». Для формирования звукового анализа — «Звуковой поезд», «Живые звуки», «Цепочка слов». </w:t>
      </w:r>
    </w:p>
    <w:p w14:paraId="535284F5" w14:textId="77777777" w:rsidR="00A27C96" w:rsidRDefault="00A27C96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1F22D329" w14:textId="33BC2134" w:rsidR="006E1E41" w:rsidRPr="006E1E41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Для коррекции зрительно-пространственной сферы — «</w:t>
      </w:r>
      <w:proofErr w:type="spellStart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Танграм</w:t>
      </w:r>
      <w:proofErr w:type="spellEnd"/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», графические диктанты, лабиринты, пальчиковые игры [17, с. 48; 24, с. 45].</w:t>
      </w:r>
    </w:p>
    <w:p w14:paraId="54E8313D" w14:textId="77777777" w:rsidR="006E1E41" w:rsidRPr="006E1E41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Контрольный этап, проведенный по окончании цикла занятий, показал значительную положительную динамику. Количество детей с низким уровнем развития предпосылок письма сократилось до 0%. Все дети, имевшие низкие показатели, перешли на средний уровень. Количество учащихся со средним уровнем увеличилось с 40% до 70%, а с высоким — с 10% до 30%. Наиболее заметные улучшения произошли в сфере зрительно-пространственных представлений: доля детей с низким уровнем по данной методике снизилась с 60% до 10%, а высокий уровень впервые показали 30% испытуемых [2, с. 235; 8, с. 42].</w:t>
      </w:r>
    </w:p>
    <w:p w14:paraId="74F1E96B" w14:textId="77777777" w:rsidR="00DC156D" w:rsidRDefault="00DC156D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</w:p>
    <w:p w14:paraId="5DD7528A" w14:textId="5B26A76D" w:rsidR="006E1E41" w:rsidRPr="006E1E41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Качественный анализ результатов позволил зафиксировать, что у детей улучшилась способность к дифференциации фонем, сформировались навыки определения последовательности звуков в словах со стечением согласных, повысилась точность при выполнении графических заданий и уровень самоконтроля. Игровая форма проведения занятий способствовала созданию положительного эмоционального фона, снижению утомляемости и повышению познавательной активности.</w:t>
      </w:r>
    </w:p>
    <w:p w14:paraId="39C66424" w14:textId="43C731D8" w:rsidR="006E1E41" w:rsidRPr="006E1E41" w:rsidRDefault="006E1E41" w:rsidP="006E1E4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t>Таким образом, результаты исследования полностью подтверждают выдвинутую гипотезу: профилактика дисграфии у младших школьников осуществляется более эффективно при условии реализации целенаправленной систематической работы с использованием комплекса интеллектуально-развивающих игр, обеспечивающих комплексное воздействие на фонематическое восприятие, звуковой анализ и зрительно-пространственные представления. Разработанная программа может быть рекомендована к внедрению в практику школьных логопедов и учителей начальных классов в качестве действенного средства предупреждения нарушений письменной речи.</w:t>
      </w:r>
    </w:p>
    <w:p w14:paraId="5A275525" w14:textId="061D1EE8" w:rsidR="006E1E41" w:rsidRPr="006E1E41" w:rsidRDefault="006E1E41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1E41">
        <w:rPr>
          <w:rFonts w:ascii="Times New Roman" w:hAnsi="Times New Roman" w:cs="Times New Roman"/>
          <w:color w:val="000000" w:themeColor="text1"/>
          <w:sz w:val="28"/>
          <w:szCs w:val="28"/>
        </w:rPr>
        <w:br w:type="page"/>
      </w:r>
    </w:p>
    <w:p w14:paraId="31FA5E1C" w14:textId="77777777" w:rsidR="000C3421" w:rsidRPr="00C638D8" w:rsidRDefault="00C46C15" w:rsidP="00C46C15">
      <w:pPr>
        <w:pStyle w:val="a3"/>
        <w:ind w:left="0" w:firstLine="709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638D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Источники и литература</w:t>
      </w:r>
    </w:p>
    <w:p w14:paraId="66E104D2" w14:textId="3AC9D173" w:rsidR="00A27C96" w:rsidRPr="00A27C96" w:rsidRDefault="00A27C96" w:rsidP="00A27C96">
      <w:pPr>
        <w:pStyle w:val="aa"/>
      </w:pPr>
      <w:r w:rsidRPr="00A27C96">
        <w:t xml:space="preserve">1. </w:t>
      </w:r>
      <w:proofErr w:type="spellStart"/>
      <w:r w:rsidRPr="00A27C96">
        <w:t>Ахутина</w:t>
      </w:r>
      <w:proofErr w:type="spellEnd"/>
      <w:r w:rsidRPr="00A27C96">
        <w:t xml:space="preserve">, Т. В. Нейропсихологическая диагностика, обследование письма и чтения младших школьников / Т. В. </w:t>
      </w:r>
      <w:proofErr w:type="spellStart"/>
      <w:r w:rsidRPr="00A27C96">
        <w:t>Ахутина</w:t>
      </w:r>
      <w:proofErr w:type="spellEnd"/>
      <w:r w:rsidRPr="00A27C96">
        <w:t>, О. Б. Иншакова. — Москва: В. Секачев, 2016. — 128 с.</w:t>
      </w:r>
    </w:p>
    <w:p w14:paraId="7192EAAC" w14:textId="361CE679" w:rsidR="00A27C96" w:rsidRPr="00A27C96" w:rsidRDefault="00A27C96" w:rsidP="00A27C96">
      <w:pPr>
        <w:pStyle w:val="aa"/>
      </w:pPr>
      <w:r w:rsidRPr="00A27C96">
        <w:t xml:space="preserve">2. </w:t>
      </w:r>
      <w:r w:rsidRPr="00A27C96">
        <w:t>Безруких, М. М. Трудности обучения в начальной школе: причины, диагностика, комплексная помощь / М. М. Безруких. — Москва: Эксмо, 2009. — 464 с.</w:t>
      </w:r>
    </w:p>
    <w:p w14:paraId="73D0CD44" w14:textId="3BCC1687" w:rsidR="00A27C96" w:rsidRPr="00A27C96" w:rsidRDefault="00A27C96" w:rsidP="00A27C96">
      <w:pPr>
        <w:pStyle w:val="aa"/>
      </w:pPr>
      <w:r w:rsidRPr="00A27C96">
        <w:t xml:space="preserve">3. </w:t>
      </w:r>
      <w:proofErr w:type="spellStart"/>
      <w:r w:rsidRPr="00A27C96">
        <w:t>Величенкова</w:t>
      </w:r>
      <w:proofErr w:type="spellEnd"/>
      <w:r w:rsidRPr="00A27C96">
        <w:t xml:space="preserve">, О. А. Дисграфия у младших школьников: профилактика и коррекция / О. А. </w:t>
      </w:r>
      <w:proofErr w:type="spellStart"/>
      <w:r w:rsidRPr="00A27C96">
        <w:t>Величенкова</w:t>
      </w:r>
      <w:proofErr w:type="spellEnd"/>
      <w:r w:rsidRPr="00A27C96">
        <w:t>, М. Н. Русецкая. — Москва: Национальный книжный центр, 2018. — 176 с.</w:t>
      </w:r>
    </w:p>
    <w:p w14:paraId="6C34248B" w14:textId="74A58B47" w:rsidR="00A27C96" w:rsidRPr="00A27C96" w:rsidRDefault="00A27C96" w:rsidP="00A27C96">
      <w:pPr>
        <w:pStyle w:val="aa"/>
      </w:pPr>
      <w:r w:rsidRPr="00A27C96">
        <w:t xml:space="preserve">4. </w:t>
      </w:r>
      <w:r w:rsidRPr="00A27C96">
        <w:t>Волкова, Л. С. Логопедия: учебник для вузов / под ред. Л. С. Волковой, С. Н. Шаховской. — Москва: ВЛАДОС, 2019. — 703 с.</w:t>
      </w:r>
    </w:p>
    <w:p w14:paraId="46CAC243" w14:textId="5F2A2E96" w:rsidR="00A27C96" w:rsidRPr="00A27C96" w:rsidRDefault="00A27C96" w:rsidP="00A27C96">
      <w:pPr>
        <w:pStyle w:val="aa"/>
      </w:pPr>
      <w:r w:rsidRPr="00A27C96">
        <w:t xml:space="preserve">5. </w:t>
      </w:r>
      <w:r w:rsidRPr="00A27C96">
        <w:t>Иншакова, О. Б. Развитие и коррекция графо-моторных навыков у детей 5–7 лет: пособие для логопедов / О. Б. Иншакова. — Москва: ВЛАДОС, 2003. — 184 с.</w:t>
      </w:r>
    </w:p>
    <w:p w14:paraId="5B080F22" w14:textId="6DD378A5" w:rsidR="00A27C96" w:rsidRPr="00A27C96" w:rsidRDefault="00A27C96" w:rsidP="00A27C96">
      <w:pPr>
        <w:pStyle w:val="aa"/>
      </w:pPr>
      <w:r w:rsidRPr="00A27C96">
        <w:t xml:space="preserve">6. </w:t>
      </w:r>
      <w:r w:rsidRPr="00A27C96">
        <w:t>Корнев, А. Н. Нарушения чтения и письма у детей: учебно-методическое пособие / А. Н. Корнев. — Санкт-Петербург: Речь, 2018. — 330 с.</w:t>
      </w:r>
    </w:p>
    <w:p w14:paraId="3B2D74F8" w14:textId="0F83DCA8" w:rsidR="00A27C96" w:rsidRPr="00A27C96" w:rsidRDefault="00A27C96" w:rsidP="00A27C96">
      <w:pPr>
        <w:pStyle w:val="aa"/>
      </w:pPr>
      <w:r w:rsidRPr="00A27C96">
        <w:t xml:space="preserve">7. </w:t>
      </w:r>
      <w:proofErr w:type="spellStart"/>
      <w:r w:rsidRPr="00A27C96">
        <w:t>Лалаева</w:t>
      </w:r>
      <w:proofErr w:type="spellEnd"/>
      <w:r w:rsidRPr="00A27C96">
        <w:t xml:space="preserve">, Р. И. Диагностика и коррекция нарушений чтения и письма у младших школьников / Р. И. </w:t>
      </w:r>
      <w:proofErr w:type="spellStart"/>
      <w:r w:rsidRPr="00A27C96">
        <w:t>Лалаева</w:t>
      </w:r>
      <w:proofErr w:type="spellEnd"/>
      <w:r w:rsidRPr="00A27C96">
        <w:t>, Л. В. Венедиктова. — Санкт-Петербург: СОЮЗ, 2001. — 224 с.</w:t>
      </w:r>
    </w:p>
    <w:p w14:paraId="7930585B" w14:textId="79100FA1" w:rsidR="00A27C96" w:rsidRPr="00A27C96" w:rsidRDefault="00A27C96" w:rsidP="00A27C96">
      <w:pPr>
        <w:pStyle w:val="aa"/>
      </w:pPr>
      <w:r w:rsidRPr="00A27C96">
        <w:t xml:space="preserve">8. </w:t>
      </w:r>
      <w:r w:rsidRPr="00A27C96">
        <w:t>Левина, Р. Е. Нарушения письма у детей с недоразвитием речи / Р. Е. Левина. — Москва: Издательство АПН РСФСР, 1961. — 311 с.</w:t>
      </w:r>
    </w:p>
    <w:p w14:paraId="67F46A4F" w14:textId="4213E44F" w:rsidR="00A27C96" w:rsidRPr="00A27C96" w:rsidRDefault="00A27C96" w:rsidP="00A27C96">
      <w:pPr>
        <w:pStyle w:val="aa"/>
      </w:pPr>
      <w:r w:rsidRPr="00A27C96">
        <w:t xml:space="preserve">9. </w:t>
      </w:r>
      <w:r w:rsidRPr="00A27C96">
        <w:t>Мазанова, Е. В. Коррекция дисграфии на почве нарушения языкового анализа и синтеза. Конспекты занятий для логопедов / Е. В. Мазанова. — Москва: ГНОМ и Д, 2007. — 128 с.</w:t>
      </w:r>
    </w:p>
    <w:p w14:paraId="4767E704" w14:textId="248A042D" w:rsidR="00A27C96" w:rsidRPr="00A27C96" w:rsidRDefault="00A27C96" w:rsidP="00A27C96">
      <w:pPr>
        <w:pStyle w:val="aa"/>
      </w:pPr>
      <w:r w:rsidRPr="00A27C96">
        <w:t xml:space="preserve">10. </w:t>
      </w:r>
      <w:proofErr w:type="spellStart"/>
      <w:r w:rsidRPr="00A27C96">
        <w:t>Огаркина</w:t>
      </w:r>
      <w:proofErr w:type="spellEnd"/>
      <w:r w:rsidRPr="00A27C96">
        <w:t xml:space="preserve">, А. В. Игровые технологии в логопедической работе с младшими школьниками / А. В. </w:t>
      </w:r>
      <w:proofErr w:type="spellStart"/>
      <w:r w:rsidRPr="00A27C96">
        <w:t>Огаркина</w:t>
      </w:r>
      <w:proofErr w:type="spellEnd"/>
      <w:r w:rsidRPr="00A27C96">
        <w:t>. — Москва: ТЦ Сфера, 2019. — 96 с.</w:t>
      </w:r>
    </w:p>
    <w:p w14:paraId="781661D0" w14:textId="77777777" w:rsidR="00A27C96" w:rsidRPr="00A27C96" w:rsidRDefault="00A27C96" w:rsidP="00A27C96">
      <w:pPr>
        <w:pStyle w:val="aa"/>
      </w:pPr>
    </w:p>
    <w:p w14:paraId="0DB34ED8" w14:textId="0432FE2A" w:rsidR="00A27C96" w:rsidRPr="00A27C96" w:rsidRDefault="00A27C96" w:rsidP="00A27C96">
      <w:pPr>
        <w:pStyle w:val="aa"/>
      </w:pPr>
      <w:r w:rsidRPr="00A27C96">
        <w:lastRenderedPageBreak/>
        <w:t xml:space="preserve">11. </w:t>
      </w:r>
      <w:r w:rsidRPr="00A27C96">
        <w:t>Парамонова, Л. Г. Дисграфия: диагностика, профилактика, коррекция / Л. Г. Парамонова. — Санкт-Петербург: ДЕТСТВО-ПРЕСС, 2006. — 128 с.</w:t>
      </w:r>
    </w:p>
    <w:p w14:paraId="7FFC90F6" w14:textId="5F063F5D" w:rsidR="00743ECB" w:rsidRPr="00743ECB" w:rsidRDefault="00A27C96" w:rsidP="00A27C96">
      <w:pPr>
        <w:pStyle w:val="aa"/>
      </w:pPr>
      <w:r w:rsidRPr="00A27C96">
        <w:t xml:space="preserve">12. </w:t>
      </w:r>
      <w:r w:rsidRPr="00A27C96">
        <w:t>Садовникова, И. Н. Нарушения письменной речи и их преодоление у младших школьников: учебное пособие / И. Н. Садовникова. — Москва: ВЛАДОС, 1997. — 256 с.</w:t>
      </w:r>
    </w:p>
    <w:sectPr w:rsidR="00743ECB" w:rsidRPr="00743E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73630" w14:textId="77777777" w:rsidR="00844A96" w:rsidRPr="006E1E41" w:rsidRDefault="00844A96" w:rsidP="00C72728">
      <w:pPr>
        <w:spacing w:after="0" w:line="240" w:lineRule="auto"/>
      </w:pPr>
      <w:r w:rsidRPr="006E1E41">
        <w:separator/>
      </w:r>
    </w:p>
  </w:endnote>
  <w:endnote w:type="continuationSeparator" w:id="0">
    <w:p w14:paraId="03739B5C" w14:textId="77777777" w:rsidR="00844A96" w:rsidRPr="006E1E41" w:rsidRDefault="00844A96" w:rsidP="00C72728">
      <w:pPr>
        <w:spacing w:after="0" w:line="240" w:lineRule="auto"/>
      </w:pPr>
      <w:r w:rsidRPr="006E1E4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58298630"/>
      <w:docPartObj>
        <w:docPartGallery w:val="Page Numbers (Bottom of Page)"/>
        <w:docPartUnique/>
      </w:docPartObj>
    </w:sdtPr>
    <w:sdtContent>
      <w:p w14:paraId="4A1C20E6" w14:textId="77777777" w:rsidR="00C72728" w:rsidRPr="006E1E41" w:rsidRDefault="00C72728">
        <w:pPr>
          <w:pStyle w:val="a7"/>
          <w:jc w:val="center"/>
        </w:pPr>
        <w:r w:rsidRPr="006E1E41">
          <w:fldChar w:fldCharType="begin"/>
        </w:r>
        <w:r w:rsidRPr="006E1E41">
          <w:instrText>PAGE   \* MERGEFORMAT</w:instrText>
        </w:r>
        <w:r w:rsidRPr="006E1E41">
          <w:fldChar w:fldCharType="separate"/>
        </w:r>
        <w:r w:rsidR="00016BE7" w:rsidRPr="006E1E41">
          <w:t>1</w:t>
        </w:r>
        <w:r w:rsidRPr="006E1E41">
          <w:fldChar w:fldCharType="end"/>
        </w:r>
      </w:p>
    </w:sdtContent>
  </w:sdt>
  <w:p w14:paraId="3426FF55" w14:textId="77777777" w:rsidR="00C72728" w:rsidRPr="006E1E41" w:rsidRDefault="00C7272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38367D" w14:textId="77777777" w:rsidR="00844A96" w:rsidRPr="006E1E41" w:rsidRDefault="00844A96" w:rsidP="00C72728">
      <w:pPr>
        <w:spacing w:after="0" w:line="240" w:lineRule="auto"/>
      </w:pPr>
      <w:r w:rsidRPr="006E1E41">
        <w:separator/>
      </w:r>
    </w:p>
  </w:footnote>
  <w:footnote w:type="continuationSeparator" w:id="0">
    <w:p w14:paraId="27408954" w14:textId="77777777" w:rsidR="00844A96" w:rsidRPr="006E1E41" w:rsidRDefault="00844A96" w:rsidP="00C72728">
      <w:pPr>
        <w:spacing w:after="0" w:line="240" w:lineRule="auto"/>
      </w:pPr>
      <w:r w:rsidRPr="006E1E41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82A3B13"/>
    <w:multiLevelType w:val="multilevel"/>
    <w:tmpl w:val="5C2672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" w15:restartNumberingAfterBreak="0">
    <w:nsid w:val="7D450470"/>
    <w:multiLevelType w:val="hybridMultilevel"/>
    <w:tmpl w:val="59081EF6"/>
    <w:lvl w:ilvl="0" w:tplc="5CB4F7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10865347">
    <w:abstractNumId w:val="0"/>
  </w:num>
  <w:num w:numId="2" w16cid:durableId="1047491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2972"/>
    <w:rsid w:val="0000458E"/>
    <w:rsid w:val="00016BE7"/>
    <w:rsid w:val="00016ED9"/>
    <w:rsid w:val="0006060B"/>
    <w:rsid w:val="000774E6"/>
    <w:rsid w:val="000C3421"/>
    <w:rsid w:val="000D6E77"/>
    <w:rsid w:val="0011766D"/>
    <w:rsid w:val="00123173"/>
    <w:rsid w:val="00172CA6"/>
    <w:rsid w:val="00180034"/>
    <w:rsid w:val="00191251"/>
    <w:rsid w:val="001A6715"/>
    <w:rsid w:val="001B0237"/>
    <w:rsid w:val="001F28ED"/>
    <w:rsid w:val="00225702"/>
    <w:rsid w:val="002443B2"/>
    <w:rsid w:val="00264AAC"/>
    <w:rsid w:val="002A18E9"/>
    <w:rsid w:val="002E0BA9"/>
    <w:rsid w:val="002F5C74"/>
    <w:rsid w:val="00326611"/>
    <w:rsid w:val="00436457"/>
    <w:rsid w:val="0047549A"/>
    <w:rsid w:val="00475AAE"/>
    <w:rsid w:val="00476347"/>
    <w:rsid w:val="00477000"/>
    <w:rsid w:val="004B0C1E"/>
    <w:rsid w:val="004C52F2"/>
    <w:rsid w:val="004E3045"/>
    <w:rsid w:val="00502F40"/>
    <w:rsid w:val="00547315"/>
    <w:rsid w:val="00583C47"/>
    <w:rsid w:val="00605090"/>
    <w:rsid w:val="00610E26"/>
    <w:rsid w:val="00611D6A"/>
    <w:rsid w:val="006A4466"/>
    <w:rsid w:val="006E0933"/>
    <w:rsid w:val="006E1E41"/>
    <w:rsid w:val="0070024A"/>
    <w:rsid w:val="0071467E"/>
    <w:rsid w:val="007239CB"/>
    <w:rsid w:val="00727971"/>
    <w:rsid w:val="00743ECB"/>
    <w:rsid w:val="00745B10"/>
    <w:rsid w:val="00750587"/>
    <w:rsid w:val="007B4E75"/>
    <w:rsid w:val="007B7D3C"/>
    <w:rsid w:val="008333D3"/>
    <w:rsid w:val="00844A96"/>
    <w:rsid w:val="008A61D7"/>
    <w:rsid w:val="008A6F16"/>
    <w:rsid w:val="008B4107"/>
    <w:rsid w:val="008D0DDE"/>
    <w:rsid w:val="008D3B19"/>
    <w:rsid w:val="0093236E"/>
    <w:rsid w:val="00963690"/>
    <w:rsid w:val="0099470F"/>
    <w:rsid w:val="009A180E"/>
    <w:rsid w:val="009F3C1D"/>
    <w:rsid w:val="00A27C96"/>
    <w:rsid w:val="00A35944"/>
    <w:rsid w:val="00A456FE"/>
    <w:rsid w:val="00A62972"/>
    <w:rsid w:val="00A77E30"/>
    <w:rsid w:val="00AF3CD5"/>
    <w:rsid w:val="00B403CC"/>
    <w:rsid w:val="00B500AB"/>
    <w:rsid w:val="00B969EF"/>
    <w:rsid w:val="00BA5757"/>
    <w:rsid w:val="00BC3BD9"/>
    <w:rsid w:val="00BD139D"/>
    <w:rsid w:val="00BD2635"/>
    <w:rsid w:val="00BE4CFB"/>
    <w:rsid w:val="00C009A1"/>
    <w:rsid w:val="00C037D4"/>
    <w:rsid w:val="00C24A2F"/>
    <w:rsid w:val="00C41AC6"/>
    <w:rsid w:val="00C46C15"/>
    <w:rsid w:val="00C62BD3"/>
    <w:rsid w:val="00C638D8"/>
    <w:rsid w:val="00C64EE6"/>
    <w:rsid w:val="00C72728"/>
    <w:rsid w:val="00C7406D"/>
    <w:rsid w:val="00CA7410"/>
    <w:rsid w:val="00CA762F"/>
    <w:rsid w:val="00D45CB8"/>
    <w:rsid w:val="00D74279"/>
    <w:rsid w:val="00DC156D"/>
    <w:rsid w:val="00EB756B"/>
    <w:rsid w:val="00EC7D52"/>
    <w:rsid w:val="00F07E26"/>
    <w:rsid w:val="00F1434A"/>
    <w:rsid w:val="00F15C99"/>
    <w:rsid w:val="00F65AD6"/>
    <w:rsid w:val="00F835B0"/>
    <w:rsid w:val="00FD3330"/>
    <w:rsid w:val="00FE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3B7FCB"/>
  <w15:docId w15:val="{46CBD2B0-6EB1-42AC-B93D-C59113CF3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800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330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semiHidden/>
    <w:unhideWhenUsed/>
    <w:rsid w:val="004C52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C52F2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4C52F2"/>
  </w:style>
  <w:style w:type="character" w:styleId="a4">
    <w:name w:val="Hyperlink"/>
    <w:basedOn w:val="a0"/>
    <w:uiPriority w:val="99"/>
    <w:unhideWhenUsed/>
    <w:rsid w:val="00C46C15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C7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72728"/>
  </w:style>
  <w:style w:type="paragraph" w:styleId="a7">
    <w:name w:val="footer"/>
    <w:basedOn w:val="a"/>
    <w:link w:val="a8"/>
    <w:uiPriority w:val="99"/>
    <w:unhideWhenUsed/>
    <w:rsid w:val="00C727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72728"/>
  </w:style>
  <w:style w:type="character" w:customStyle="1" w:styleId="10">
    <w:name w:val="Заголовок 1 Знак"/>
    <w:basedOn w:val="a0"/>
    <w:link w:val="1"/>
    <w:uiPriority w:val="9"/>
    <w:rsid w:val="001800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author">
    <w:name w:val="author"/>
    <w:basedOn w:val="a0"/>
    <w:rsid w:val="00180034"/>
  </w:style>
  <w:style w:type="character" w:customStyle="1" w:styleId="tituls">
    <w:name w:val="tituls"/>
    <w:basedOn w:val="a0"/>
    <w:rsid w:val="00180034"/>
  </w:style>
  <w:style w:type="character" w:customStyle="1" w:styleId="huge">
    <w:name w:val="huge"/>
    <w:basedOn w:val="a0"/>
    <w:rsid w:val="00180034"/>
  </w:style>
  <w:style w:type="character" w:styleId="a9">
    <w:name w:val="Emphasis"/>
    <w:basedOn w:val="a0"/>
    <w:uiPriority w:val="20"/>
    <w:qFormat/>
    <w:rsid w:val="00F65AD6"/>
    <w:rPr>
      <w:i/>
      <w:iCs/>
    </w:rPr>
  </w:style>
  <w:style w:type="paragraph" w:styleId="aa">
    <w:name w:val="No Spacing"/>
    <w:uiPriority w:val="1"/>
    <w:qFormat/>
    <w:rsid w:val="006E1E41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95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8</Pages>
  <Words>1392</Words>
  <Characters>8957</Characters>
  <Application>Microsoft Office Word</Application>
  <DocSecurity>0</DocSecurity>
  <Lines>190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k3466</cp:lastModifiedBy>
  <cp:revision>35</cp:revision>
  <dcterms:created xsi:type="dcterms:W3CDTF">2023-10-25T13:54:00Z</dcterms:created>
  <dcterms:modified xsi:type="dcterms:W3CDTF">2026-03-12T00:18:00Z</dcterms:modified>
</cp:coreProperties>
</file>