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39A8" w14:textId="50059E71" w:rsidR="00AE75A9" w:rsidRPr="00AE75A9" w:rsidRDefault="00AE75A9" w:rsidP="00AE75A9">
      <w:pPr>
        <w:pStyle w:val="2"/>
        <w:widowControl w:val="0"/>
        <w:rPr>
          <w:rFonts w:ascii="Times New Roman Полужирный" w:hAnsi="Times New Roman Полужирный"/>
          <w:caps/>
          <w:szCs w:val="28"/>
        </w:rPr>
      </w:pPr>
      <w:r w:rsidRPr="00AE75A9">
        <w:rPr>
          <w:rFonts w:ascii="Times New Roman Полужирный" w:hAnsi="Times New Roman Полужирный"/>
          <w:caps/>
          <w:szCs w:val="28"/>
        </w:rPr>
        <w:t>Понятие и содержание процессуального статуса участника административного судопроизводства</w:t>
      </w:r>
    </w:p>
    <w:p w14:paraId="4FC63EDD" w14:textId="77777777" w:rsidR="00AE75A9" w:rsidRDefault="00AE75A9" w:rsidP="00AE75A9">
      <w:pPr>
        <w:ind w:left="3969"/>
        <w:jc w:val="right"/>
        <w:rPr>
          <w:bCs/>
          <w:i/>
        </w:rPr>
      </w:pPr>
    </w:p>
    <w:p w14:paraId="3E38418F" w14:textId="4262F1CA" w:rsidR="00AE75A9" w:rsidRPr="00810FCB" w:rsidRDefault="00AE75A9" w:rsidP="00AE75A9">
      <w:pPr>
        <w:ind w:left="3969"/>
        <w:jc w:val="right"/>
        <w:rPr>
          <w:bCs/>
          <w:i/>
        </w:rPr>
      </w:pPr>
      <w:r w:rsidRPr="00AE75A9">
        <w:rPr>
          <w:bCs/>
          <w:i/>
        </w:rPr>
        <w:t>Мартышина Татьяна Николаевна</w:t>
      </w:r>
      <w:r>
        <w:rPr>
          <w:bCs/>
          <w:i/>
        </w:rPr>
        <w:t>,</w:t>
      </w:r>
    </w:p>
    <w:p w14:paraId="0F37E192" w14:textId="643E865B" w:rsidR="00AE75A9" w:rsidRPr="00810FCB" w:rsidRDefault="00AE75A9" w:rsidP="00AE75A9">
      <w:pPr>
        <w:ind w:left="3969"/>
        <w:jc w:val="right"/>
        <w:rPr>
          <w:bCs/>
          <w:i/>
        </w:rPr>
      </w:pPr>
      <w:r w:rsidRPr="00810FCB">
        <w:rPr>
          <w:bCs/>
          <w:i/>
        </w:rPr>
        <w:t>магистр</w:t>
      </w:r>
      <w:r w:rsidR="00F174C1">
        <w:rPr>
          <w:bCs/>
          <w:i/>
        </w:rPr>
        <w:t>ант</w:t>
      </w:r>
      <w:r w:rsidRPr="00810FCB">
        <w:rPr>
          <w:bCs/>
          <w:i/>
        </w:rPr>
        <w:t xml:space="preserve"> </w:t>
      </w:r>
      <w:r>
        <w:rPr>
          <w:bCs/>
          <w:i/>
        </w:rPr>
        <w:t>АНО</w:t>
      </w:r>
      <w:r w:rsidRPr="00810FCB">
        <w:rPr>
          <w:bCs/>
          <w:i/>
        </w:rPr>
        <w:t xml:space="preserve"> ВО «Московский университет  «Синергия»</w:t>
      </w:r>
    </w:p>
    <w:p w14:paraId="029C38B6" w14:textId="77777777" w:rsidR="00AE75A9" w:rsidRPr="00AE75A9" w:rsidRDefault="00AE75A9" w:rsidP="00AE75A9">
      <w:pPr>
        <w:jc w:val="right"/>
      </w:pPr>
    </w:p>
    <w:p w14:paraId="11359EE0" w14:textId="77777777" w:rsidR="00AE75A9" w:rsidRPr="00EF17BF" w:rsidRDefault="00AE75A9" w:rsidP="00AE75A9">
      <w:pPr>
        <w:widowControl w:val="0"/>
      </w:pPr>
    </w:p>
    <w:p w14:paraId="511CBDBB" w14:textId="73E238EA" w:rsidR="00AE75A9" w:rsidRDefault="00AE75A9" w:rsidP="00AE75A9">
      <w:pPr>
        <w:widowControl w:val="0"/>
      </w:pPr>
      <w:r w:rsidRPr="000C7BE8">
        <w:t>Понятие «статус» происходит от латинского слова «status», означающего «положение, состояние» кого-либо или чего-либо.</w:t>
      </w:r>
      <w:r>
        <w:t xml:space="preserve"> Согласно Большому толковому словарю русского языка, статус представляет собой совокупность прав и обязанностей гражданина или юридического лица</w:t>
      </w:r>
      <w:r w:rsidRPr="00AE75A9">
        <w:t>[1]</w:t>
      </w:r>
      <w:r>
        <w:t>. Правовой статус определяется государством с целью определить характеристики субъекта права, закрепить его правовое положение. Он отражает права и обязанности субъекта в целостном виде и закрепляет юридически положение лица в обществе.</w:t>
      </w:r>
    </w:p>
    <w:p w14:paraId="56A79E47" w14:textId="4274FD52" w:rsidR="00AE75A9" w:rsidRDefault="00AE75A9" w:rsidP="00AE75A9">
      <w:pPr>
        <w:widowControl w:val="0"/>
      </w:pPr>
      <w:r>
        <w:t>В литературе активно используется термин правовой статус. Вопросы содержания правового статуса исследованы достаточно широко, но вместе с этим общепринятого мнения о формулировке определения термина правового статуса не выявлено. В данной связи рассмотрим некоторые примеры. Под правовым статусом может пониматься совокупность право- и дееспособности, необходимых для возникновения конкретных правоотношений, а также общих прав и обязанностей, реализация которых не порождает конкретные правоотношения</w:t>
      </w:r>
      <w:r w:rsidRPr="00AE75A9">
        <w:t>[2]</w:t>
      </w:r>
      <w:r>
        <w:t>. Но также правовой статус может рассматриваться и как совокупность прав и обязанностей, законных интересов какого-либо субъекта права</w:t>
      </w:r>
      <w:r w:rsidRPr="00AE75A9">
        <w:t xml:space="preserve"> [3]</w:t>
      </w:r>
      <w:r>
        <w:t>.</w:t>
      </w:r>
    </w:p>
    <w:p w14:paraId="776FE07B" w14:textId="451831A4" w:rsidR="00AE75A9" w:rsidRPr="000C7BE8" w:rsidRDefault="00AE75A9" w:rsidP="00AE75A9">
      <w:pPr>
        <w:widowControl w:val="0"/>
      </w:pPr>
      <w:r>
        <w:t>Кроме того, в литературе обсуждается отличие понятия правовой статус от правового положения, и согласимся с Кирсановой А.Г.: эти понятия не являются противопоставлением, они взаимосвязаны друг с другом</w:t>
      </w:r>
      <w:r w:rsidRPr="00AE75A9">
        <w:t xml:space="preserve"> [4]</w:t>
      </w:r>
      <w:r>
        <w:t xml:space="preserve">, так как правовой статус – некая собирательная категория, соединяющая в себе права и обязанности, а правовое положение выражается через нормы, которые </w:t>
      </w:r>
      <w:r>
        <w:lastRenderedPageBreak/>
        <w:t>регулируют этот статус. Например, Ткачук В.Н. правовой статус определяет как установленное нормами права положение его субъектов с их основными правами и обязанностями</w:t>
      </w:r>
      <w:r w:rsidRPr="00AE75A9">
        <w:t xml:space="preserve"> [5]</w:t>
      </w:r>
      <w:r>
        <w:t xml:space="preserve">. </w:t>
      </w:r>
    </w:p>
    <w:p w14:paraId="1A03D4F5" w14:textId="5E203D3C" w:rsidR="00AE75A9" w:rsidRPr="00AE75A9" w:rsidRDefault="00AE75A9" w:rsidP="00AE75A9">
      <w:pPr>
        <w:widowControl w:val="0"/>
      </w:pPr>
      <w:r>
        <w:t>В данной работе рассматривается процессуальный статус участника административного судопроизводства, которое представляет собой порядок производства по административным делам и производству по делам об административных правонарушениях, определяемый нормами административно-процессуального права, в рамках которого ключевую роль играет КАС РФ. Данный порядок установлен с целью урегулировать разрешение дел, вытекающих из административных и иных публичных правоотношений. Кроме того, административное судопроизводство – это самостоятельная отрасль судебного права, а также процессуальная форма защиты соответствующих материальных норм</w:t>
      </w:r>
      <w:r w:rsidRPr="00AE75A9">
        <w:t xml:space="preserve"> [6]</w:t>
      </w:r>
      <w:r>
        <w:t>.</w:t>
      </w:r>
    </w:p>
    <w:p w14:paraId="200D81AA" w14:textId="15DA01D6" w:rsidR="00AE75A9" w:rsidRDefault="00AE75A9" w:rsidP="00AE75A9">
      <w:pPr>
        <w:widowControl w:val="0"/>
      </w:pPr>
      <w:r w:rsidRPr="00CD5DC1">
        <w:t>Процессуальный статус субъектов административно-процессуальных правоотношений является производным от общего административно-правового статуса и предусматривает реализацию процессуальных прав и выполнение процессуальных обязанностей в ходе возникновения, изменения или прекращения административно</w:t>
      </w:r>
      <w:r>
        <w:t>-</w:t>
      </w:r>
      <w:r w:rsidRPr="00CD5DC1">
        <w:t>процессуальных правоотношений.</w:t>
      </w:r>
      <w:r>
        <w:t xml:space="preserve"> В узком смысле он рассматривается как </w:t>
      </w:r>
      <w:r w:rsidRPr="00CF24DE">
        <w:t>закрепл</w:t>
      </w:r>
      <w:r>
        <w:t>е</w:t>
      </w:r>
      <w:r w:rsidRPr="00CF24DE">
        <w:t xml:space="preserve">нное нормами </w:t>
      </w:r>
      <w:r>
        <w:t>административно</w:t>
      </w:r>
      <w:r w:rsidRPr="00CF24DE">
        <w:t xml:space="preserve">-процессуального права положение субъекта в системе </w:t>
      </w:r>
      <w:r>
        <w:t>административно</w:t>
      </w:r>
      <w:r w:rsidRPr="00CF24DE">
        <w:t>-процессуальных отношений, включающее в себя</w:t>
      </w:r>
      <w:r>
        <w:t xml:space="preserve"> права и обязанности. При его определении основную роль играет КАС РФ. </w:t>
      </w:r>
    </w:p>
    <w:p w14:paraId="41341540" w14:textId="77777777" w:rsidR="00AE75A9" w:rsidRDefault="00AE75A9" w:rsidP="00AE75A9">
      <w:pPr>
        <w:widowControl w:val="0"/>
      </w:pPr>
      <w:r>
        <w:t xml:space="preserve">Вместе с тем возникают сложности с тем, чтобы сформировать понятие процессуального статуса </w:t>
      </w:r>
      <w:r w:rsidRPr="0078252C">
        <w:t>участника административного судопроизводства</w:t>
      </w:r>
      <w:r>
        <w:t xml:space="preserve">, так как в литературе в большинстве своем рассматривается процессуальный статус какого-либо конкретного участника </w:t>
      </w:r>
      <w:r w:rsidRPr="0078252C">
        <w:t>административного судопроизводства</w:t>
      </w:r>
      <w:r>
        <w:t xml:space="preserve">, а не участника в целом. Кроме того, в литературе основное внимание исследователей процессуальных статусов обращено к уголовному процессу, тогда как вопросы изучения </w:t>
      </w:r>
      <w:r w:rsidRPr="0078252C">
        <w:t>процессуального статуса участника административного судопроизводства</w:t>
      </w:r>
      <w:r>
        <w:t xml:space="preserve"> изучены в гораздо меньшей степени.</w:t>
      </w:r>
    </w:p>
    <w:p w14:paraId="061FFE76" w14:textId="2A9A3867" w:rsidR="00AE75A9" w:rsidRDefault="00AE75A9" w:rsidP="00AE75A9">
      <w:pPr>
        <w:widowControl w:val="0"/>
      </w:pPr>
      <w:r>
        <w:lastRenderedPageBreak/>
        <w:t xml:space="preserve">Поэтому приведем </w:t>
      </w:r>
      <w:r w:rsidRPr="007A2C38">
        <w:t>некоторые примеры</w:t>
      </w:r>
      <w:r>
        <w:t xml:space="preserve"> из публикаций последних лет. Ткачук Н.В. административно-процессуальный статус определяет как совокупность (систему) предоставленных субъекту процессуальных прав и возложенных на него обязанностей, а также возможности применения к нему мер процессуального принуждения как к участнику административного судопроизводства</w:t>
      </w:r>
      <w:r w:rsidRPr="00AE75A9">
        <w:t xml:space="preserve"> [5]</w:t>
      </w:r>
      <w:r>
        <w:t>. Применительно к уголовному процессу Глушков А.И. и Акулов А.О. определяет процессуальный статус как правовую конструкцию, которая описывает положение субъекта в рамках уголовного процесса и устанавливает его права, обязанности, ответственность</w:t>
      </w:r>
      <w:r w:rsidRPr="00AE75A9">
        <w:t xml:space="preserve"> [7]</w:t>
      </w:r>
      <w:r>
        <w:t xml:space="preserve">. Общим в рассмотренных определениях является то, что процессуальный статус авторами видится как некая система элементов, среди которых основное значение занимают права, обязанности и ответственность. </w:t>
      </w:r>
    </w:p>
    <w:p w14:paraId="68765C94" w14:textId="0DB277A1" w:rsidR="00AE75A9" w:rsidRPr="00AE75A9" w:rsidRDefault="00AE75A9" w:rsidP="00AE75A9">
      <w:pPr>
        <w:widowControl w:val="0"/>
      </w:pPr>
      <w:r>
        <w:t>На сегодняшний день административно-процессуальный правовой статус как юридическая категория представляет собой многоэлементную систему. Несмотря на то, что процессуальный статус обеспечивает функционирование некого субъекта в правовой системе, в науке нет единого мнения или однозначной позиции о содержании и элементах процессуального статуса участника административного судопроизводства. В связи с этим далее будет рассмотрено содержание основных элементов, которые могут быть раскрыты через изучение правовых основ участников административного судопроизводства</w:t>
      </w:r>
      <w:r w:rsidRPr="00AE75A9">
        <w:t>.</w:t>
      </w:r>
    </w:p>
    <w:p w14:paraId="1FCA78ED" w14:textId="467E164C" w:rsidR="00AE75A9" w:rsidRDefault="00AE75A9" w:rsidP="00AE75A9">
      <w:pPr>
        <w:widowControl w:val="0"/>
      </w:pPr>
      <w:r>
        <w:t>Правосубъектность, как элемент административно-правового статуса, рассматривался в научный доктрине достаточно часто. Сегодня единый подход в отношении этого элемента в научном сообществе отсутствует. Различные точки зрения авторов обуславливают наличие нескольких подходов, однако многие ученые-административисты сходится во мнении, что под ней следует понимать способность гражданина</w:t>
      </w:r>
      <w:r w:rsidRPr="004D3710">
        <w:t xml:space="preserve"> </w:t>
      </w:r>
      <w:r>
        <w:t>являться участником административных правоотношений. С помощью правосубъектности устанавливаются определенные границы, в пределах которых гражданин может участвовать в административных правоотношениях</w:t>
      </w:r>
      <w:r w:rsidRPr="00AE75A9">
        <w:t xml:space="preserve"> [8]</w:t>
      </w:r>
      <w:r>
        <w:t xml:space="preserve">. </w:t>
      </w:r>
    </w:p>
    <w:p w14:paraId="165DD407" w14:textId="77777777" w:rsidR="00AE75A9" w:rsidRDefault="00AE75A9" w:rsidP="00AE75A9">
      <w:pPr>
        <w:widowControl w:val="0"/>
      </w:pPr>
      <w:r>
        <w:lastRenderedPageBreak/>
        <w:t>Правосубъектность – это синтез правоспособности и дееспособности (праводееспособность).</w:t>
      </w:r>
      <w:r w:rsidRPr="00DD7C3F">
        <w:t xml:space="preserve"> </w:t>
      </w:r>
      <w:r>
        <w:t>Так, правоспособность представляется в виде статического элемента административной правосубъектности, а дееспособность – динамического.</w:t>
      </w:r>
      <w:r w:rsidRPr="00B578A4">
        <w:t xml:space="preserve"> </w:t>
      </w:r>
      <w:r>
        <w:t>Административная процессуальная правосубъектность участников административного судопроизводства является общим основанием участия в административном судопроизводстве для всех лиц, участвующих в деле.</w:t>
      </w:r>
    </w:p>
    <w:p w14:paraId="289BC871" w14:textId="77777777" w:rsidR="00AE75A9" w:rsidRDefault="00AE75A9" w:rsidP="00AE75A9">
      <w:pPr>
        <w:widowControl w:val="0"/>
      </w:pPr>
      <w:r>
        <w:t xml:space="preserve">Правоспособность – признаваемая государством возможность иметь предусмотренные законом права и обязанности, быть их носителем. Она возникает в момент рождения, все граждане без исключения ею обладают (на обладание правоспособностью не оказывают влияние пол, национальность, место жительства и т.д., она неотделима от личности, ее нельзя делегировать другому человеку, то есть, она непередаваема). Административная процессуальная правоспособность – способность иметь процессуальные права и нести процессуальные обязанности в административном судопроизводстве. Имеется в виду не фактическое обладание каким-либо правом, а некий постулат того, что это возможно. </w:t>
      </w:r>
    </w:p>
    <w:p w14:paraId="7B655DDB" w14:textId="08B43D46" w:rsidR="00AE75A9" w:rsidRDefault="00AE75A9" w:rsidP="00AE75A9">
      <w:pPr>
        <w:widowControl w:val="0"/>
      </w:pPr>
      <w:r>
        <w:t xml:space="preserve">Административная процессуальная правоспособность по отраслевому признаку предполагает, что возможность приобретать права и обязанности есть только в отрасли административного судопроизводства. Подразумевается наличие специальной правоспособности, так как это может быть правоспособность, при которой требуются специальные познания или талант. Административная процессуальная правоспособность признается за всеми частными и публичными субъектами. Согласно КАС РФ, процессуальная правоспособность, а соответственно способность быть стороной в процессе, признается в равной мере за всеми гражданами и организациями, обладающими согласно законодательству РФ правом на судебную защиту прав, свобод и законных интересов. </w:t>
      </w:r>
    </w:p>
    <w:p w14:paraId="7ACE8D58" w14:textId="059F5EB4" w:rsidR="00AE75A9" w:rsidRDefault="00AE75A9" w:rsidP="00AE75A9">
      <w:pPr>
        <w:widowControl w:val="0"/>
      </w:pPr>
      <w:r>
        <w:t xml:space="preserve">Дееспособность – способность осуществлять имеющиеся права и обязанности, при этом отвечать за свои действия и их последствия, быть </w:t>
      </w:r>
      <w:r>
        <w:lastRenderedPageBreak/>
        <w:t>участником правовых отношений. Дееспособность зависит от таких признаков, как возраст и психическое состояние. Только с определенного возраста наступает дееспособность: с 14 лет – частичная, с 18 лет – полная. При этом дееспособность может быть ограниченной, если лицо ограничено в дееспособности судом. Административная процессуальная дееспособность – способность своими действиями осуществлять процессуальные права, в т.ч. поручать ведение административного дела представителю, и исполнять процессуальные обязанности в административном судопроизводстве. Она принадлежит публичным и частным субъектам, но для граждан с возрастом меньше 18 лет, недееспособных, необходимо, чтобы их защищали в судебном процессе их законные представители, которые могут быть привлечены для участия в суде в случае необходимости.</w:t>
      </w:r>
    </w:p>
    <w:p w14:paraId="611173A9" w14:textId="35294ACD" w:rsidR="00AE75A9" w:rsidRDefault="00AE75A9" w:rsidP="00AE75A9">
      <w:pPr>
        <w:widowControl w:val="0"/>
      </w:pPr>
      <w:r>
        <w:t xml:space="preserve">Кроме того, правосубъектность включает в себя деликтоспособность (как часть дееспособности). Деликтоспособность в общем виде представляет собой способность лица нести юридическую ответственность за вред, который причинен его действием или бездействием. В административном праве административная ответственность может наступить для лица, которому есть 16 лет. Еще одним элементом правосубъектности может быть названа </w:t>
      </w:r>
      <w:r w:rsidRPr="00AE20B6">
        <w:t>вменяемость</w:t>
      </w:r>
      <w:r>
        <w:t xml:space="preserve"> (как условие уголовной ответственности). Под вменяемостью понимается способность человека отдавать себе отчет в своих действиях и руководить ими в момент совершения правонарушения. </w:t>
      </w:r>
      <w:r w:rsidRPr="003279FE">
        <w:t>В некоторой учебной литературе авторы выделяют еще один элемент – трансдееспособность</w:t>
      </w:r>
      <w:r>
        <w:t xml:space="preserve"> (</w:t>
      </w:r>
      <w:r w:rsidRPr="003279FE">
        <w:t>способность лица своими действиями создавать для других права и обязанности и его способность принимать на себя права и обязанности в результате действий других субъектов</w:t>
      </w:r>
      <w:r>
        <w:t>)</w:t>
      </w:r>
      <w:r w:rsidRPr="00AE75A9">
        <w:t xml:space="preserve"> [9]</w:t>
      </w:r>
      <w:r>
        <w:t>.</w:t>
      </w:r>
    </w:p>
    <w:p w14:paraId="758EFC9F" w14:textId="77777777" w:rsidR="00AE75A9" w:rsidRDefault="00AE75A9" w:rsidP="00AE75A9">
      <w:pPr>
        <w:widowControl w:val="0"/>
      </w:pPr>
      <w:r>
        <w:t xml:space="preserve">Права – следующий элемент процессуального статуса участника административного судопроизводства. Права – это возможности, которые предоставлены данному участнику в соответствии с КАС РФ. Право представляет собой официально признанную и легализованную меру возможного поведения данного участника. Во всяком праве есть две стороны </w:t>
      </w:r>
      <w:r>
        <w:lastRenderedPageBreak/>
        <w:t>– лицо управомоченное, которое может требовать, и лицо обязанное, которое должно исполнять требование.</w:t>
      </w:r>
      <w:r w:rsidRPr="00C93E3B">
        <w:t xml:space="preserve"> </w:t>
      </w:r>
      <w:r>
        <w:t>Если один человек будет исполнять свои обязанности, то другие люди приобретают права, а если человек будет требовать только соблюдения своих прав, то бремя обязывания ложится на других людей, которые должны будут реализовывать данное право.</w:t>
      </w:r>
      <w:r w:rsidRPr="005D25AF">
        <w:t xml:space="preserve"> </w:t>
      </w:r>
      <w:r>
        <w:t>Административные процессуальные права лиц – установленные и обеспеченные нормами КАС РФ меры их возможного поведения и возможность требовать определенных действий от суда при рассмотрении дела.</w:t>
      </w:r>
    </w:p>
    <w:p w14:paraId="097E64FD" w14:textId="7D2ABC0F" w:rsidR="00AE75A9" w:rsidRDefault="00AE75A9" w:rsidP="00AE75A9">
      <w:pPr>
        <w:widowControl w:val="0"/>
      </w:pPr>
      <w:r>
        <w:t>Обязанности – еще один элемент процессуального статуса, права нельзя рассматривать вне корреспондирующих им обязанностей.</w:t>
      </w:r>
      <w:r w:rsidRPr="00C93E3B">
        <w:t xml:space="preserve"> </w:t>
      </w:r>
      <w:r>
        <w:t>Без обязанностей не может быть упорядоченных социальных связей и правоотношений в сфере административного судопроизводства</w:t>
      </w:r>
      <w:r w:rsidRPr="00AE75A9">
        <w:t xml:space="preserve"> [10]</w:t>
      </w:r>
      <w:r>
        <w:t>. Под обязанностями понимаются правовые требования, которые должны выполняться данным участником. Обязанность – юридически закрепленная необходимость. Обязанности подразумевают под собой должное поведение, отклонение от которого регулируется мерами принуждения, пресечения. Административная процессуальная обязанность лиц, участвующих в административном деле, есть требуемое и обеспеченное процессуальным законом должное поведение в административном судопроизводстве.</w:t>
      </w:r>
    </w:p>
    <w:p w14:paraId="50F4EFE3" w14:textId="77777777" w:rsidR="00AE75A9" w:rsidRDefault="00AE75A9" w:rsidP="00AE75A9">
      <w:pPr>
        <w:widowControl w:val="0"/>
      </w:pPr>
      <w:r>
        <w:t>Ответственность – элемент</w:t>
      </w:r>
      <w:r w:rsidRPr="0055773B">
        <w:t xml:space="preserve"> </w:t>
      </w:r>
      <w:r>
        <w:t>процессуального статуса судопроизводства, который реализует превентивную и восстановительную функции. Меры ответственности направлены на предупреждение последующих нарушений, возмещение понесенного ущерба. За нарушения, совершенные в статусе участника административного судопроизводства, может быть предусмотрена административная, уголовная, дисциплинарная виды ответственности. Ответственность направлена на недопущение ситуаций злоупотребления правом.</w:t>
      </w:r>
    </w:p>
    <w:p w14:paraId="5FA3B739" w14:textId="77777777" w:rsidR="00AE75A9" w:rsidRDefault="00AE75A9" w:rsidP="00AE75A9">
      <w:pPr>
        <w:widowControl w:val="0"/>
      </w:pPr>
      <w:r>
        <w:t xml:space="preserve">Гарантии – элемент процессуального статуса, который представляет собой механизмы, обеспечивающие соблюдение и защиту прав. Они снижают </w:t>
      </w:r>
      <w:r>
        <w:lastRenderedPageBreak/>
        <w:t xml:space="preserve">риски допущения нарушений прав, направлены на восстановление справедливости, если произошло ущемление прав. </w:t>
      </w:r>
    </w:p>
    <w:p w14:paraId="26B8E4CB" w14:textId="573ECDE1" w:rsidR="00AE75A9" w:rsidRDefault="00AE75A9" w:rsidP="00AE75A9">
      <w:pPr>
        <w:widowControl w:val="0"/>
      </w:pPr>
      <w:r>
        <w:t>Таким образом,</w:t>
      </w:r>
      <w:r w:rsidRPr="006C2D4D">
        <w:t xml:space="preserve"> </w:t>
      </w:r>
      <w:r>
        <w:t xml:space="preserve">в учебной и научной литературе не выработано общепринятого мнения о </w:t>
      </w:r>
      <w:r w:rsidRPr="00463A4E">
        <w:t>содержании</w:t>
      </w:r>
      <w:r>
        <w:t xml:space="preserve"> </w:t>
      </w:r>
      <w:r w:rsidRPr="00463A4E">
        <w:t xml:space="preserve">понятия </w:t>
      </w:r>
      <w:r w:rsidRPr="0078252C">
        <w:t>процессуальн</w:t>
      </w:r>
      <w:r>
        <w:t>ого</w:t>
      </w:r>
      <w:r w:rsidRPr="0078252C">
        <w:t xml:space="preserve"> статус</w:t>
      </w:r>
      <w:r>
        <w:t>а</w:t>
      </w:r>
      <w:r w:rsidRPr="0078252C">
        <w:t xml:space="preserve"> участника административного судопроизводства</w:t>
      </w:r>
      <w:r>
        <w:t>. С учетом рассмотренных определений под</w:t>
      </w:r>
      <w:r w:rsidRPr="00AE20B6">
        <w:t xml:space="preserve"> </w:t>
      </w:r>
      <w:r w:rsidRPr="0078252C">
        <w:t>процессуальн</w:t>
      </w:r>
      <w:r>
        <w:t>ым</w:t>
      </w:r>
      <w:r w:rsidRPr="0078252C">
        <w:t xml:space="preserve"> статус</w:t>
      </w:r>
      <w:r>
        <w:t>ом</w:t>
      </w:r>
      <w:r w:rsidRPr="0078252C">
        <w:t xml:space="preserve"> участника административного судопроизводства</w:t>
      </w:r>
      <w:r>
        <w:t xml:space="preserve"> в настоящем исследовании предлагается понимать систему элементов, которые определяют права и обязанности, а также ответственность участника в рамках административного судопроизводства. Он определяет, какую роль играет участник, как он может взаимодействовать с другими участниками, какое поведение для него позволительно, а какое, наоборот, недопустимо и какие последствия в связи с таким поведением могут наступить.  Не выработано единого мнения и о элементах, которые формируют содержание </w:t>
      </w:r>
      <w:r w:rsidRPr="0078252C">
        <w:t>процессуального статуса участника административного судопроизводства</w:t>
      </w:r>
      <w:r>
        <w:t xml:space="preserve">, тем не менее, основное содержание данного процессуального статуса может быть определено такими основными элементами, как правосубъектность (правоспособность и дееспособность), права (предоставляемые возможности), обязанности (требования, которые должны выполняться), ответственность (реакция на нарушения, превентивный и восстановительный механизм) и гарантии (обеспечение соблюдения и защиты прав). </w:t>
      </w:r>
    </w:p>
    <w:p w14:paraId="1F6D06D5" w14:textId="00FEB4E2" w:rsidR="00AE75A9" w:rsidRPr="00AE75A9" w:rsidRDefault="00AE75A9" w:rsidP="00AE75A9">
      <w:pPr>
        <w:widowControl w:val="0"/>
        <w:tabs>
          <w:tab w:val="left" w:pos="426"/>
          <w:tab w:val="left" w:pos="993"/>
        </w:tabs>
        <w:jc w:val="center"/>
      </w:pPr>
      <w:r w:rsidRPr="00AE75A9">
        <w:t>Литература</w:t>
      </w:r>
    </w:p>
    <w:p w14:paraId="01F1D1C6" w14:textId="5D04F8B6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 xml:space="preserve">Большой толковый словарь русского языка // Грамота.ру. </w:t>
      </w:r>
      <w:r w:rsidRPr="00AE75A9">
        <w:rPr>
          <w:sz w:val="28"/>
          <w:szCs w:val="28"/>
          <w:lang w:val="en-US"/>
        </w:rPr>
        <w:t>URL</w:t>
      </w:r>
      <w:r w:rsidRPr="00AE75A9">
        <w:rPr>
          <w:sz w:val="28"/>
          <w:szCs w:val="28"/>
        </w:rPr>
        <w:t>: https://gramota.ru/poisk?queryстатус&amp;mode=slovari&amp;dicts[]=42.</w:t>
      </w:r>
    </w:p>
    <w:p w14:paraId="35094031" w14:textId="22C64778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>Пиголкин А.С.  Теория государства и права : учебник для вузов / А. С. Пиголкин, А. Н. Головистикова, Ю. А. Дмитриев ; под редакцией А. С. Пиголкина, Ю. А. Дмитриева. М. : Издательство Юрайт, 2025. С. 426.</w:t>
      </w:r>
    </w:p>
    <w:p w14:paraId="3EF07889" w14:textId="2BB088E8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>Ромашов Р.А.  Теория государства и права : учебник и практикум для вузов / Р. А. Ромашов. М. : Издательство Юрайт, 2025. С. 325.</w:t>
      </w:r>
    </w:p>
    <w:p w14:paraId="2A4CFD5B" w14:textId="2E80FC9B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lastRenderedPageBreak/>
        <w:t>Кирсанова А.Г. Понятие и особенности процессуального статуса обвиняемого в уголовном судопроизводстве // Право и управление. 2024. № 3. С. 213.</w:t>
      </w:r>
    </w:p>
    <w:p w14:paraId="66A060E0" w14:textId="589F6A81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>Ткачук В.Н. О понятии административно-правового и административно-процессуального статуса сотрудника ОВД (полиции) как участника административного судопроизводства // Материалы II всероссийского конгресса «Санкт-Петербургские встречи молодых ученых». СПб.: Санкт-Петербургский университет МВД России, 2024. С. 417</w:t>
      </w:r>
      <w:r w:rsidRPr="00AE75A9">
        <w:rPr>
          <w:sz w:val="28"/>
          <w:szCs w:val="28"/>
          <w:lang w:val="en-US"/>
        </w:rPr>
        <w:t xml:space="preserve"> - 419</w:t>
      </w:r>
      <w:r w:rsidRPr="00AE75A9">
        <w:rPr>
          <w:sz w:val="28"/>
          <w:szCs w:val="28"/>
        </w:rPr>
        <w:t>.</w:t>
      </w:r>
    </w:p>
    <w:p w14:paraId="31B162E4" w14:textId="76FC8D34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>Волков А.М.  Административное судопроизводство : учебник для вузов / А. М. Волков, Е. А. Лютягина ; под общей редакцией А. М. Волкова. М.: Издательство Юрайт, 2025. С. 38.</w:t>
      </w:r>
    </w:p>
    <w:p w14:paraId="75EEABD2" w14:textId="732BEBA8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>Глушков А.И., Акулов А.О. Понятие и правовые основы уголовно-процессуального статуса следователя // Молодой ученый. 2024. № 44 (543). С.75.</w:t>
      </w:r>
    </w:p>
    <w:p w14:paraId="60429012" w14:textId="675728D2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>Ковшевацкий В.И., Маркина Э.В. Понятие и содержание административно-процессуального статуса судьи в производстве по делам об административных правонарушениях // Вестник экономической безопасности. 2024. № 2. С. 72.</w:t>
      </w:r>
    </w:p>
    <w:p w14:paraId="34EA9092" w14:textId="15C5E658" w:rsidR="00AE75A9" w:rsidRPr="00AE75A9" w:rsidRDefault="00AE75A9" w:rsidP="00AE75A9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>Берг Л.Н. Теория права: правовое воздействие и правовое регулирование: учебник для вузов / Л. Н. Берг, Е. А. Березина. М. : Издательство Юрайт, 2025. С. 246.</w:t>
      </w:r>
    </w:p>
    <w:p w14:paraId="053F935F" w14:textId="75EAD11A" w:rsidR="00AB55E9" w:rsidRPr="00AE75A9" w:rsidRDefault="00AE75A9" w:rsidP="00AE75A9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AE75A9">
        <w:rPr>
          <w:sz w:val="28"/>
          <w:szCs w:val="28"/>
        </w:rPr>
        <w:t>Юнусов Э.А. Соотношение прав и обязанностей как правовые категории // Право и государство: теория и практика. 2020. № 3 (183). С. 112.</w:t>
      </w:r>
    </w:p>
    <w:sectPr w:rsidR="00AB55E9" w:rsidRPr="00AE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AA50" w14:textId="77777777" w:rsidR="008E042E" w:rsidRDefault="008E042E" w:rsidP="00AE75A9">
      <w:pPr>
        <w:spacing w:line="240" w:lineRule="auto"/>
      </w:pPr>
      <w:r>
        <w:separator/>
      </w:r>
    </w:p>
  </w:endnote>
  <w:endnote w:type="continuationSeparator" w:id="0">
    <w:p w14:paraId="75D190E2" w14:textId="77777777" w:rsidR="008E042E" w:rsidRDefault="008E042E" w:rsidP="00AE7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2678" w14:textId="77777777" w:rsidR="008E042E" w:rsidRDefault="008E042E" w:rsidP="00AE75A9">
      <w:pPr>
        <w:spacing w:line="240" w:lineRule="auto"/>
      </w:pPr>
      <w:r>
        <w:separator/>
      </w:r>
    </w:p>
  </w:footnote>
  <w:footnote w:type="continuationSeparator" w:id="0">
    <w:p w14:paraId="76638EE4" w14:textId="77777777" w:rsidR="008E042E" w:rsidRDefault="008E042E" w:rsidP="00AE75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70E7"/>
    <w:multiLevelType w:val="hybridMultilevel"/>
    <w:tmpl w:val="60CE46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70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5C"/>
    <w:rsid w:val="001F6073"/>
    <w:rsid w:val="008E042E"/>
    <w:rsid w:val="00AB55E9"/>
    <w:rsid w:val="00AE75A9"/>
    <w:rsid w:val="00E21FA7"/>
    <w:rsid w:val="00EC505C"/>
    <w:rsid w:val="00F1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5242"/>
  <w15:chartTrackingRefBased/>
  <w15:docId w15:val="{0BD76296-B3BF-47FB-98D9-5F7B7E4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5A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75A9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AB55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E75A9"/>
    <w:rPr>
      <w:rFonts w:ascii="Times New Roman" w:eastAsiaTheme="majorEastAsia" w:hAnsi="Times New Roman" w:cstheme="majorBidi"/>
      <w:b/>
      <w:sz w:val="28"/>
      <w:szCs w:val="26"/>
    </w:rPr>
  </w:style>
  <w:style w:type="paragraph" w:styleId="a4">
    <w:name w:val="footnote text"/>
    <w:basedOn w:val="a"/>
    <w:link w:val="a5"/>
    <w:uiPriority w:val="99"/>
    <w:unhideWhenUsed/>
    <w:rsid w:val="00AE75A9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E75A9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E7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Admin 1</cp:lastModifiedBy>
  <cp:revision>3</cp:revision>
  <dcterms:created xsi:type="dcterms:W3CDTF">2026-05-03T22:44:00Z</dcterms:created>
  <dcterms:modified xsi:type="dcterms:W3CDTF">2026-05-03T22:48:00Z</dcterms:modified>
</cp:coreProperties>
</file>