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B8" w:rsidRDefault="00B930B8" w:rsidP="00B930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Эссе «Синдром эмоционального выгорания и его преодоление»</w:t>
      </w:r>
    </w:p>
    <w:p w:rsidR="00B930B8" w:rsidRDefault="00B930B8" w:rsidP="00B930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Рудый Елена Владиславовна (студентка 4 курса КГПУ, Котова Елена Владиславовна (доцент, кандидат психологических наук).</w:t>
      </w:r>
      <w:proofErr w:type="gramEnd"/>
    </w:p>
    <w:p w:rsidR="00B930B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люди в процессе своей профессиональной деятельности испытывают э</w:t>
      </w:r>
      <w:r w:rsidRPr="007A128E">
        <w:rPr>
          <w:rFonts w:ascii="Times New Roman" w:hAnsi="Times New Roman" w:cs="Times New Roman"/>
          <w:sz w:val="28"/>
          <w:szCs w:val="28"/>
        </w:rPr>
        <w:t>моциональное истощение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Pr="007A128E">
        <w:rPr>
          <w:rFonts w:ascii="Times New Roman" w:hAnsi="Times New Roman" w:cs="Times New Roman"/>
          <w:sz w:val="28"/>
          <w:szCs w:val="28"/>
        </w:rPr>
        <w:t xml:space="preserve"> </w:t>
      </w:r>
      <w:r w:rsidRPr="00AB0304">
        <w:rPr>
          <w:rFonts w:ascii="Times New Roman" w:hAnsi="Times New Roman" w:cs="Times New Roman"/>
          <w:sz w:val="28"/>
          <w:szCs w:val="28"/>
        </w:rPr>
        <w:t>развивается у человека в процессе его профессиональной деятельности и выражается в состоянии эмоционального и физического истощения, отчуждении от людей, с которыми человек взаимодействует, а также в отсутствии профессион</w:t>
      </w:r>
      <w:r>
        <w:rPr>
          <w:rFonts w:ascii="Times New Roman" w:hAnsi="Times New Roman" w:cs="Times New Roman"/>
          <w:sz w:val="28"/>
          <w:szCs w:val="28"/>
        </w:rPr>
        <w:t>альных планов и крушении надежд. Это и есть синдром эмоционального выгорания [2</w:t>
      </w:r>
      <w:r w:rsidRPr="00AA341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B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понятие, ввёл в психологию американский психиатр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Фрейденберг</w:t>
      </w:r>
      <w:proofErr w:type="spellEnd"/>
      <w:r w:rsidRPr="007A128E">
        <w:rPr>
          <w:rFonts w:ascii="Times New Roman" w:hAnsi="Times New Roman" w:cs="Times New Roman"/>
          <w:sz w:val="28"/>
          <w:szCs w:val="28"/>
        </w:rPr>
        <w:t xml:space="preserve"> в 1974 году, </w:t>
      </w:r>
      <w:r>
        <w:rPr>
          <w:rFonts w:ascii="Times New Roman" w:hAnsi="Times New Roman" w:cs="Times New Roman"/>
          <w:sz w:val="28"/>
          <w:szCs w:val="28"/>
        </w:rPr>
        <w:t xml:space="preserve">которое проявлялось </w:t>
      </w:r>
      <w:r w:rsidRPr="007A128E">
        <w:rPr>
          <w:rFonts w:ascii="Times New Roman" w:hAnsi="Times New Roman" w:cs="Times New Roman"/>
          <w:sz w:val="28"/>
          <w:szCs w:val="28"/>
        </w:rPr>
        <w:t>нарастающим эмоциональным истощением. Врачи называют это просто переутомлением.</w:t>
      </w:r>
    </w:p>
    <w:p w:rsidR="00B930B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E8">
        <w:rPr>
          <w:rFonts w:ascii="Times New Roman" w:hAnsi="Times New Roman" w:cs="Times New Roman"/>
          <w:sz w:val="28"/>
          <w:szCs w:val="28"/>
        </w:rPr>
        <w:t>Эмоциональное выгорание было детально изучено только в 20 веке и попало в список МКБ-10, в категорию факторов, влияющих на состояние</w:t>
      </w:r>
      <w:r>
        <w:rPr>
          <w:rFonts w:ascii="Times New Roman" w:hAnsi="Times New Roman" w:cs="Times New Roman"/>
          <w:sz w:val="28"/>
          <w:szCs w:val="28"/>
        </w:rPr>
        <w:t xml:space="preserve"> здоровья населения, код Z73.0 [4</w:t>
      </w:r>
      <w:r w:rsidRPr="00AA341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B8" w:rsidRPr="00D41AE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E8">
        <w:rPr>
          <w:rFonts w:ascii="Times New Roman" w:hAnsi="Times New Roman" w:cs="Times New Roman"/>
          <w:sz w:val="28"/>
          <w:szCs w:val="28"/>
        </w:rPr>
        <w:t>Условно синдром эмоционального выгорания В.В. Бойко разделил на три фазы:</w:t>
      </w:r>
    </w:p>
    <w:p w:rsidR="00B930B8" w:rsidRPr="00D41AE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1AE8">
        <w:rPr>
          <w:rFonts w:ascii="Times New Roman" w:hAnsi="Times New Roman" w:cs="Times New Roman"/>
          <w:sz w:val="28"/>
          <w:szCs w:val="28"/>
        </w:rPr>
        <w:t>напряжение;</w:t>
      </w:r>
    </w:p>
    <w:p w:rsidR="00B930B8" w:rsidRPr="00D41AE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1AE8">
        <w:rPr>
          <w:rFonts w:ascii="Times New Roman" w:hAnsi="Times New Roman" w:cs="Times New Roman"/>
          <w:sz w:val="28"/>
          <w:szCs w:val="28"/>
        </w:rPr>
        <w:t xml:space="preserve">сопротивление или </w:t>
      </w:r>
      <w:proofErr w:type="spellStart"/>
      <w:r w:rsidRPr="00D41AE8">
        <w:rPr>
          <w:rFonts w:ascii="Times New Roman" w:hAnsi="Times New Roman" w:cs="Times New Roman"/>
          <w:sz w:val="28"/>
          <w:szCs w:val="28"/>
        </w:rPr>
        <w:t>резистенция</w:t>
      </w:r>
      <w:proofErr w:type="spellEnd"/>
      <w:r w:rsidRPr="00D41AE8">
        <w:rPr>
          <w:rFonts w:ascii="Times New Roman" w:hAnsi="Times New Roman" w:cs="Times New Roman"/>
          <w:sz w:val="28"/>
          <w:szCs w:val="28"/>
        </w:rPr>
        <w:t>;</w:t>
      </w:r>
    </w:p>
    <w:p w:rsidR="00B930B8" w:rsidRPr="00D41AE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1AE8">
        <w:rPr>
          <w:rFonts w:ascii="Times New Roman" w:hAnsi="Times New Roman" w:cs="Times New Roman"/>
          <w:sz w:val="28"/>
          <w:szCs w:val="28"/>
        </w:rPr>
        <w:t>истощение.</w:t>
      </w:r>
    </w:p>
    <w:p w:rsidR="00B930B8" w:rsidRPr="00D41AE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E8">
        <w:rPr>
          <w:rFonts w:ascii="Times New Roman" w:hAnsi="Times New Roman" w:cs="Times New Roman"/>
          <w:sz w:val="28"/>
          <w:szCs w:val="28"/>
        </w:rPr>
        <w:t>На начальном этапе чувства слегка притупляются. Знакомые, жалующиеся на жизнь, не вызывают сочувствия или желания помочь. Работа перестает приносить удовольствие, появляются симптомы депрессии: тоска, ощущение хронической усталости, скука и опустошение. Человека постоянно посещают мысли, что он бесполезен для общества и, возможно, нужно начать делать что-то другое в жизни. Он ругает себя, ищет недостатки, не понимает, как выйти из сложившейся ситуации.</w:t>
      </w:r>
    </w:p>
    <w:p w:rsidR="00B930B8" w:rsidRPr="00D41AE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E8">
        <w:rPr>
          <w:rFonts w:ascii="Times New Roman" w:hAnsi="Times New Roman" w:cs="Times New Roman"/>
          <w:sz w:val="28"/>
          <w:szCs w:val="28"/>
        </w:rPr>
        <w:t xml:space="preserve">С наступлением второй фазы истощенный организм яростно сопротивляется причине возникновения стресса. На этапе </w:t>
      </w:r>
      <w:proofErr w:type="spellStart"/>
      <w:r w:rsidRPr="00D41AE8">
        <w:rPr>
          <w:rFonts w:ascii="Times New Roman" w:hAnsi="Times New Roman" w:cs="Times New Roman"/>
          <w:sz w:val="28"/>
          <w:szCs w:val="28"/>
        </w:rPr>
        <w:t>резистенции</w:t>
      </w:r>
      <w:proofErr w:type="spellEnd"/>
      <w:r w:rsidRPr="00D41AE8">
        <w:rPr>
          <w:rFonts w:ascii="Times New Roman" w:hAnsi="Times New Roman" w:cs="Times New Roman"/>
          <w:sz w:val="28"/>
          <w:szCs w:val="28"/>
        </w:rPr>
        <w:t xml:space="preserve"> </w:t>
      </w:r>
      <w:r w:rsidRPr="00D41AE8">
        <w:rPr>
          <w:rFonts w:ascii="Times New Roman" w:hAnsi="Times New Roman" w:cs="Times New Roman"/>
          <w:sz w:val="28"/>
          <w:szCs w:val="28"/>
        </w:rPr>
        <w:lastRenderedPageBreak/>
        <w:t xml:space="preserve">неприязнь постепенно распространяется на коллег, начальство, знакомых и незнакомых людей, с которыми приходится общаться. Постоянный стресс разрушает психику, поэтому мозг переходит на энергосберегающий режим. Выключается способность к </w:t>
      </w:r>
      <w:proofErr w:type="spellStart"/>
      <w:r w:rsidRPr="00D41AE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41AE8">
        <w:rPr>
          <w:rFonts w:ascii="Times New Roman" w:hAnsi="Times New Roman" w:cs="Times New Roman"/>
          <w:sz w:val="28"/>
          <w:szCs w:val="28"/>
        </w:rPr>
        <w:t>. Возникает желание спрятаться подальше от людей.</w:t>
      </w:r>
    </w:p>
    <w:p w:rsidR="00B930B8" w:rsidRPr="00D41AE8" w:rsidRDefault="00B930B8" w:rsidP="00B93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AE8">
        <w:rPr>
          <w:rFonts w:ascii="Times New Roman" w:hAnsi="Times New Roman" w:cs="Times New Roman"/>
          <w:sz w:val="28"/>
          <w:szCs w:val="28"/>
        </w:rPr>
        <w:t>На третьей стадии эмоционального выгорания человек превращается в бесчувственную машину с пустым взглядом и полным отсутствием эмоций. Теряет профессиональные навыки и желание вообще что-либо делать, даже для своих детей, находится</w:t>
      </w:r>
      <w:r>
        <w:rPr>
          <w:rFonts w:ascii="Times New Roman" w:hAnsi="Times New Roman" w:cs="Times New Roman"/>
          <w:sz w:val="28"/>
          <w:szCs w:val="28"/>
        </w:rPr>
        <w:t xml:space="preserve"> на грани инфаркта или инсульта [1</w:t>
      </w:r>
      <w:r w:rsidRPr="00AA341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B8" w:rsidRDefault="00B930B8" w:rsidP="00B93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97D">
        <w:rPr>
          <w:rFonts w:ascii="Times New Roman" w:hAnsi="Times New Roman" w:cs="Times New Roman"/>
          <w:sz w:val="28"/>
          <w:szCs w:val="28"/>
        </w:rPr>
        <w:t>Ряд исследователей считает основными предпосылками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6497D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97D">
        <w:rPr>
          <w:rFonts w:ascii="Times New Roman" w:hAnsi="Times New Roman" w:cs="Times New Roman"/>
          <w:sz w:val="28"/>
          <w:szCs w:val="28"/>
        </w:rPr>
        <w:t xml:space="preserve"> организационных проблем (слишком большая рабочая нагрузка, недостаточная возможность контролировать ситуацию, отсутствие организационной общности, недостаточное моральное и материальное вознаграждение, несправедливость, отсутствие значимости выполняемой работы). В то же время другие исследователи считают более </w:t>
      </w:r>
      <w:proofErr w:type="gramStart"/>
      <w:r w:rsidRPr="00F6497D">
        <w:rPr>
          <w:rFonts w:ascii="Times New Roman" w:hAnsi="Times New Roman" w:cs="Times New Roman"/>
          <w:sz w:val="28"/>
          <w:szCs w:val="28"/>
        </w:rPr>
        <w:t>важными</w:t>
      </w:r>
      <w:proofErr w:type="gramEnd"/>
      <w:r w:rsidRPr="00F6497D">
        <w:rPr>
          <w:rFonts w:ascii="Times New Roman" w:hAnsi="Times New Roman" w:cs="Times New Roman"/>
          <w:sz w:val="28"/>
          <w:szCs w:val="28"/>
        </w:rPr>
        <w:t xml:space="preserve"> личностные характеристики (низкая самооценка, высокий </w:t>
      </w:r>
      <w:proofErr w:type="spellStart"/>
      <w:r w:rsidRPr="00F6497D">
        <w:rPr>
          <w:rFonts w:ascii="Times New Roman" w:hAnsi="Times New Roman" w:cs="Times New Roman"/>
          <w:sz w:val="28"/>
          <w:szCs w:val="28"/>
        </w:rPr>
        <w:t>невротизм</w:t>
      </w:r>
      <w:proofErr w:type="spellEnd"/>
      <w:r w:rsidRPr="00F6497D">
        <w:rPr>
          <w:rFonts w:ascii="Times New Roman" w:hAnsi="Times New Roman" w:cs="Times New Roman"/>
          <w:sz w:val="28"/>
          <w:szCs w:val="28"/>
        </w:rPr>
        <w:t xml:space="preserve">, тревожность и др.). 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можно сказать, </w:t>
      </w:r>
      <w:r w:rsidRPr="00F6497D">
        <w:rPr>
          <w:rFonts w:ascii="Times New Roman" w:hAnsi="Times New Roman" w:cs="Times New Roman"/>
          <w:sz w:val="28"/>
          <w:szCs w:val="28"/>
        </w:rPr>
        <w:t xml:space="preserve">нет единых взглядов на вопрос </w:t>
      </w:r>
      <w:proofErr w:type="spellStart"/>
      <w:r w:rsidRPr="00F6497D">
        <w:rPr>
          <w:rFonts w:ascii="Times New Roman" w:hAnsi="Times New Roman" w:cs="Times New Roman"/>
          <w:sz w:val="28"/>
          <w:szCs w:val="28"/>
        </w:rPr>
        <w:t>этиопатогенеза</w:t>
      </w:r>
      <w:proofErr w:type="spellEnd"/>
      <w:r w:rsidRPr="00F6497D">
        <w:rPr>
          <w:rFonts w:ascii="Times New Roman" w:hAnsi="Times New Roman" w:cs="Times New Roman"/>
          <w:sz w:val="28"/>
          <w:szCs w:val="28"/>
        </w:rPr>
        <w:t xml:space="preserve"> выгорания, отсутствуют устоявшиеся единые диагностические критерии.</w:t>
      </w:r>
    </w:p>
    <w:p w:rsidR="00B930B8" w:rsidRPr="00B930B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7D">
        <w:rPr>
          <w:rFonts w:ascii="Times New Roman" w:hAnsi="Times New Roman" w:cs="Times New Roman"/>
          <w:sz w:val="28"/>
          <w:szCs w:val="28"/>
        </w:rPr>
        <w:t>Более всего риску возникновения СЭВ подвержены лица, предъявляющие непомерно высокие требования к себе. В их представлении настоящий специалист - это образец профессиональной неуязвимости и совершенства. Входящие в эту категорию личности, ассоциируют свой труд с предназначением, миссией, поэтому у них стирается грань между работой и личной жизнью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B8" w:rsidRPr="004F0166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16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F01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F0166">
        <w:rPr>
          <w:rFonts w:ascii="Times New Roman" w:hAnsi="Times New Roman" w:cs="Times New Roman"/>
          <w:sz w:val="28"/>
          <w:szCs w:val="28"/>
        </w:rPr>
        <w:t>. Красноярск было проведено исследование, в котором приняли участие 10 студентов педагогического университета, с целью изучения уровня</w:t>
      </w:r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алекситимии</w:t>
      </w:r>
      <w:proofErr w:type="spellEnd"/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4F0166">
        <w:rPr>
          <w:rFonts w:ascii="Times New Roman" w:hAnsi="Times New Roman" w:cs="Times New Roman"/>
          <w:sz w:val="28"/>
          <w:szCs w:val="28"/>
        </w:rPr>
        <w:t xml:space="preserve">измерения степени "выгорания" в  профессиях типа "человек- человек" по следующим методикам: </w:t>
      </w:r>
    </w:p>
    <w:p w:rsidR="00B930B8" w:rsidRPr="004F0166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0166">
        <w:rPr>
          <w:rFonts w:ascii="Times New Roman" w:hAnsi="Times New Roman" w:cs="Times New Roman"/>
          <w:sz w:val="28"/>
          <w:szCs w:val="28"/>
        </w:rPr>
        <w:lastRenderedPageBreak/>
        <w:t>1. «</w:t>
      </w:r>
      <w:proofErr w:type="spellStart"/>
      <w:r w:rsidRPr="004F0166">
        <w:rPr>
          <w:rFonts w:ascii="Times New Roman" w:hAnsi="Times New Roman" w:cs="Times New Roman"/>
          <w:sz w:val="28"/>
          <w:szCs w:val="28"/>
        </w:rPr>
        <w:t>Торонтская</w:t>
      </w:r>
      <w:proofErr w:type="spellEnd"/>
      <w:r w:rsidRPr="004F0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алекситимическая</w:t>
      </w:r>
      <w:proofErr w:type="spellEnd"/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шкала</w:t>
      </w:r>
      <w:r w:rsidRPr="004F0166">
        <w:rPr>
          <w:rFonts w:ascii="Times New Roman" w:hAnsi="Times New Roman" w:cs="Times New Roman"/>
          <w:sz w:val="28"/>
          <w:szCs w:val="28"/>
        </w:rPr>
        <w:t xml:space="preserve"> </w:t>
      </w:r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>(TAS)</w:t>
      </w:r>
      <w:r w:rsidRPr="004F0166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Создана</w:t>
      </w:r>
      <w:proofErr w:type="gramEnd"/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G. J. </w:t>
      </w:r>
      <w:proofErr w:type="spellStart"/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>Taylor</w:t>
      </w:r>
      <w:proofErr w:type="spellEnd"/>
      <w:r w:rsidRPr="004F0166">
        <w:rPr>
          <w:rFonts w:ascii="Times New Roman" w:hAnsi="Times New Roman" w:cs="Times New Roman"/>
          <w:sz w:val="28"/>
          <w:szCs w:val="28"/>
        </w:rPr>
        <w:t xml:space="preserve"> и соавторами в 1985 году.</w:t>
      </w:r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Цель: определить наличие либо предрасположенность испытуемого к </w:t>
      </w:r>
      <w:proofErr w:type="spellStart"/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алекситимии</w:t>
      </w:r>
      <w:proofErr w:type="spellEnd"/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0166">
        <w:rPr>
          <w:rFonts w:ascii="Times New Roman" w:hAnsi="Times New Roman" w:cs="Times New Roman"/>
          <w:sz w:val="28"/>
          <w:szCs w:val="28"/>
        </w:rPr>
        <w:t>[</w:t>
      </w:r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0166">
        <w:rPr>
          <w:rFonts w:ascii="Times New Roman" w:hAnsi="Times New Roman" w:cs="Times New Roman"/>
          <w:sz w:val="28"/>
          <w:szCs w:val="28"/>
        </w:rPr>
        <w:t>].</w:t>
      </w:r>
    </w:p>
    <w:p w:rsidR="00B930B8" w:rsidRPr="004F0166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4F016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F0166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4F0166">
        <w:rPr>
          <w:rFonts w:ascii="Times New Roman" w:hAnsi="Times New Roman" w:cs="Times New Roman"/>
          <w:sz w:val="28"/>
          <w:szCs w:val="28"/>
        </w:rPr>
        <w:t xml:space="preserve"> эмоционального выгорания К. </w:t>
      </w:r>
      <w:proofErr w:type="spellStart"/>
      <w:r w:rsidRPr="004F0166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4F0166">
        <w:rPr>
          <w:rFonts w:ascii="Times New Roman" w:hAnsi="Times New Roman" w:cs="Times New Roman"/>
          <w:sz w:val="28"/>
          <w:szCs w:val="28"/>
        </w:rPr>
        <w:t xml:space="preserve"> и С. Джексон. Цель:  измерение степени "выгорания" в  профессиях типа "человек- человек"  [</w:t>
      </w:r>
      <w:r w:rsidRPr="004F016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4F0166">
        <w:rPr>
          <w:rFonts w:ascii="Times New Roman" w:hAnsi="Times New Roman" w:cs="Times New Roman"/>
          <w:sz w:val="28"/>
          <w:szCs w:val="28"/>
        </w:rPr>
        <w:t>].</w:t>
      </w:r>
    </w:p>
    <w:p w:rsidR="00B930B8" w:rsidRPr="007B3CE1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методике </w:t>
      </w:r>
      <w:r>
        <w:rPr>
          <w:rFonts w:ascii="Times New Roman" w:hAnsi="Times New Roman" w:cs="Times New Roman"/>
          <w:sz w:val="28"/>
          <w:szCs w:val="28"/>
          <w:lang w:val="en-US"/>
        </w:rPr>
        <w:t>TAS</w:t>
      </w:r>
      <w:r w:rsidRPr="004F0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B3CE1">
        <w:rPr>
          <w:rFonts w:ascii="Times New Roman" w:hAnsi="Times New Roman" w:cs="Times New Roman"/>
          <w:sz w:val="28"/>
          <w:szCs w:val="28"/>
        </w:rPr>
        <w:t xml:space="preserve">ыли получены следующие результаты: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B3CE1">
        <w:rPr>
          <w:rFonts w:ascii="Times New Roman" w:hAnsi="Times New Roman" w:cs="Times New Roman"/>
          <w:sz w:val="28"/>
          <w:szCs w:val="28"/>
          <w:shd w:val="clear" w:color="auto" w:fill="FFFFFF"/>
        </w:rPr>
        <w:t>еалекситимический</w:t>
      </w:r>
      <w:proofErr w:type="spellEnd"/>
      <w:r w:rsidRPr="007B3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 наблюдается у 50 </w:t>
      </w:r>
      <w:r w:rsidRPr="007B3CE1">
        <w:rPr>
          <w:rFonts w:ascii="Times New Roman" w:hAnsi="Times New Roman" w:cs="Times New Roman"/>
          <w:sz w:val="28"/>
          <w:szCs w:val="28"/>
        </w:rPr>
        <w:t xml:space="preserve">% участником исследования, в </w:t>
      </w:r>
      <w:r w:rsidRPr="007B3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риска входят 30 </w:t>
      </w:r>
      <w:r w:rsidRPr="007B3CE1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Pr="007B3CE1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алекситимический</w:t>
      </w:r>
      <w:proofErr w:type="spellEnd"/>
      <w:r w:rsidRPr="007B3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 выражен у 20</w:t>
      </w:r>
      <w:r w:rsidRPr="007B3CE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студентов педагогического университета. </w:t>
      </w:r>
    </w:p>
    <w:p w:rsidR="00B930B8" w:rsidRPr="007B3CE1" w:rsidRDefault="00B930B8" w:rsidP="00B930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3CE1">
        <w:rPr>
          <w:shd w:val="clear" w:color="auto" w:fill="FFFFFF"/>
        </w:rPr>
        <w:drawing>
          <wp:inline distT="0" distB="0" distL="0" distR="0">
            <wp:extent cx="4943475" cy="2562225"/>
            <wp:effectExtent l="19050" t="0" r="9525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930B8" w:rsidRPr="007B3CE1" w:rsidRDefault="00B930B8" w:rsidP="00B930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0B8" w:rsidRPr="005E4893" w:rsidRDefault="00B930B8" w:rsidP="00B930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B3CE1">
        <w:rPr>
          <w:rFonts w:ascii="Times New Roman" w:hAnsi="Times New Roman" w:cs="Times New Roman"/>
          <w:sz w:val="28"/>
          <w:szCs w:val="28"/>
        </w:rPr>
        <w:t>опросник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7B3CE1">
        <w:rPr>
          <w:rFonts w:ascii="Times New Roman" w:hAnsi="Times New Roman" w:cs="Times New Roman"/>
          <w:sz w:val="28"/>
          <w:szCs w:val="28"/>
        </w:rPr>
        <w:t xml:space="preserve"> эмоционального выгорания </w:t>
      </w:r>
      <w:r w:rsidRPr="007B3CE1">
        <w:rPr>
          <w:rFonts w:ascii="Times New Roman" w:hAnsi="Times New Roman" w:cs="Times New Roman"/>
          <w:color w:val="000000"/>
          <w:sz w:val="28"/>
          <w:szCs w:val="28"/>
        </w:rPr>
        <w:t>три шкалы: 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</w:t>
      </w:r>
      <w:r w:rsidRPr="007B3C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моциональное истощение, Деперсонализация, Редукция личных достижений.  </w:t>
      </w:r>
    </w:p>
    <w:p w:rsidR="00B930B8" w:rsidRPr="007B3CE1" w:rsidRDefault="00B930B8" w:rsidP="00B930B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3CE1">
        <w:rPr>
          <w:rFonts w:ascii="Times New Roman" w:hAnsi="Times New Roman" w:cs="Times New Roman"/>
          <w:bCs/>
          <w:color w:val="000000"/>
          <w:sz w:val="28"/>
          <w:szCs w:val="28"/>
        </w:rPr>
        <w:t>В группе участников исследования были получены следующие результаты:</w:t>
      </w:r>
    </w:p>
    <w:p w:rsidR="00B930B8" w:rsidRPr="00C86DF7" w:rsidRDefault="00B930B8" w:rsidP="00B930B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B3CE1">
        <w:rPr>
          <w:rFonts w:ascii="Times New Roman" w:hAnsi="Times New Roman" w:cs="Times New Roman"/>
          <w:bCs/>
          <w:color w:val="000000"/>
          <w:sz w:val="28"/>
          <w:szCs w:val="28"/>
        </w:rPr>
        <w:t>Эмоциональное истощение: низкий уровень наблюдается 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Pr="00C86DF7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 w:rsidRPr="007B3CE1">
        <w:rPr>
          <w:rFonts w:ascii="Times New Roman" w:hAnsi="Times New Roman" w:cs="Times New Roman"/>
          <w:bCs/>
          <w:color w:val="000000"/>
          <w:sz w:val="28"/>
          <w:szCs w:val="28"/>
        </w:rPr>
        <w:t>, средний уровень у</w:t>
      </w:r>
      <w:r w:rsidRPr="00C86D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C86DF7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 w:rsidRPr="007B3CE1">
        <w:rPr>
          <w:rFonts w:ascii="Times New Roman" w:hAnsi="Times New Roman" w:cs="Times New Roman"/>
          <w:bCs/>
          <w:color w:val="000000"/>
          <w:sz w:val="28"/>
          <w:szCs w:val="28"/>
        </w:rPr>
        <w:t>, высокий уровень выявлен у</w:t>
      </w:r>
      <w:r w:rsidRPr="00C86D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C86D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участников исследования.</w:t>
      </w:r>
    </w:p>
    <w:p w:rsidR="00B930B8" w:rsidRDefault="00B930B8" w:rsidP="00B930B8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320635">
        <w:rPr>
          <w:rFonts w:ascii="Arial" w:hAnsi="Arial" w:cs="Arial"/>
          <w:b/>
          <w:bCs/>
          <w:color w:val="000000"/>
        </w:rPr>
        <w:lastRenderedPageBreak/>
        <w:drawing>
          <wp:inline distT="0" distB="0" distL="0" distR="0">
            <wp:extent cx="3638550" cy="2371725"/>
            <wp:effectExtent l="19050" t="0" r="1905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930B8" w:rsidRDefault="00B930B8" w:rsidP="00B930B8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B930B8" w:rsidRPr="005E4893" w:rsidRDefault="00B930B8" w:rsidP="00B930B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4893">
        <w:rPr>
          <w:rFonts w:ascii="Times New Roman" w:hAnsi="Times New Roman" w:cs="Times New Roman"/>
          <w:bCs/>
          <w:color w:val="000000"/>
          <w:sz w:val="28"/>
          <w:szCs w:val="28"/>
        </w:rPr>
        <w:t>Деперсонализация: низкий уровень наблюдается у 20%, средний уровень у 30%, высокий уровень выявлен у 50% участников исследования.</w:t>
      </w:r>
    </w:p>
    <w:p w:rsidR="00B930B8" w:rsidRDefault="00B930B8" w:rsidP="00B930B8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B930B8" w:rsidRDefault="00B930B8" w:rsidP="00B930B8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320635">
        <w:rPr>
          <w:rFonts w:ascii="Arial" w:hAnsi="Arial" w:cs="Arial"/>
          <w:b/>
          <w:bCs/>
          <w:color w:val="000000"/>
        </w:rPr>
        <w:drawing>
          <wp:inline distT="0" distB="0" distL="0" distR="0">
            <wp:extent cx="3638550" cy="2314575"/>
            <wp:effectExtent l="19050" t="0" r="19050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930B8" w:rsidRPr="005E4893" w:rsidRDefault="00B930B8" w:rsidP="00B930B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48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Редукция личных достижений: низкий уровень наблюдается у 50%, средний уровень у 30%, высокий уровень выявлен у 20% студентов, принимавших участие в </w:t>
      </w:r>
      <w:proofErr w:type="spellStart"/>
      <w:r w:rsidRPr="005E4893">
        <w:rPr>
          <w:rFonts w:ascii="Times New Roman" w:hAnsi="Times New Roman" w:cs="Times New Roman"/>
          <w:bCs/>
          <w:color w:val="000000"/>
          <w:sz w:val="28"/>
          <w:szCs w:val="28"/>
        </w:rPr>
        <w:t>ииследовании</w:t>
      </w:r>
      <w:proofErr w:type="spellEnd"/>
      <w:r w:rsidRPr="005E489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930B8" w:rsidRDefault="00B930B8" w:rsidP="00B930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63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19500" cy="2152650"/>
            <wp:effectExtent l="19050" t="0" r="1905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30B8" w:rsidRDefault="00B930B8" w:rsidP="00B930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28E">
        <w:rPr>
          <w:rFonts w:ascii="Times New Roman" w:hAnsi="Times New Roman" w:cs="Times New Roman"/>
          <w:sz w:val="28"/>
          <w:szCs w:val="28"/>
        </w:rPr>
        <w:lastRenderedPageBreak/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же можно </w:t>
      </w:r>
      <w:r w:rsidRPr="007A128E">
        <w:rPr>
          <w:rFonts w:ascii="Times New Roman" w:hAnsi="Times New Roman" w:cs="Times New Roman"/>
          <w:sz w:val="28"/>
          <w:szCs w:val="28"/>
        </w:rPr>
        <w:t>избежать вст</w:t>
      </w:r>
      <w:r>
        <w:rPr>
          <w:rFonts w:ascii="Times New Roman" w:hAnsi="Times New Roman" w:cs="Times New Roman"/>
          <w:sz w:val="28"/>
          <w:szCs w:val="28"/>
        </w:rPr>
        <w:t>речи с эмоциональным выгоранием?</w:t>
      </w:r>
    </w:p>
    <w:p w:rsidR="00B930B8" w:rsidRPr="007A128E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Относиться</w:t>
      </w:r>
      <w:r w:rsidRPr="007A128E">
        <w:rPr>
          <w:rFonts w:ascii="Times New Roman" w:hAnsi="Times New Roman" w:cs="Times New Roman"/>
          <w:sz w:val="28"/>
          <w:szCs w:val="28"/>
        </w:rPr>
        <w:t xml:space="preserve"> к жизни позитивно.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128E">
        <w:rPr>
          <w:rFonts w:ascii="Times New Roman" w:hAnsi="Times New Roman" w:cs="Times New Roman"/>
          <w:sz w:val="28"/>
          <w:szCs w:val="28"/>
        </w:rPr>
        <w:t>сихологическое правило: если можешь изменить ситуацию – измени ее, не можешь изменить обстоятельства – измени к ним отношение.</w:t>
      </w:r>
    </w:p>
    <w:p w:rsidR="00B930B8" w:rsidRPr="007A128E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128E">
        <w:rPr>
          <w:rFonts w:ascii="Times New Roman" w:hAnsi="Times New Roman" w:cs="Times New Roman"/>
          <w:sz w:val="28"/>
          <w:szCs w:val="28"/>
        </w:rPr>
        <w:t>. Забот</w:t>
      </w:r>
      <w:r>
        <w:rPr>
          <w:rFonts w:ascii="Times New Roman" w:hAnsi="Times New Roman" w:cs="Times New Roman"/>
          <w:sz w:val="28"/>
          <w:szCs w:val="28"/>
        </w:rPr>
        <w:t>иться о себе: стремиться к равновесию и гармонии, вести</w:t>
      </w:r>
      <w:r w:rsidRPr="007A128E">
        <w:rPr>
          <w:rFonts w:ascii="Times New Roman" w:hAnsi="Times New Roman" w:cs="Times New Roman"/>
          <w:sz w:val="28"/>
          <w:szCs w:val="28"/>
        </w:rPr>
        <w:t xml:space="preserve"> здоровый образ жизни.</w:t>
      </w:r>
    </w:p>
    <w:p w:rsidR="00B930B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Высыпаться</w:t>
      </w:r>
      <w:r w:rsidRPr="007A128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930B8" w:rsidRPr="007A128E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Подбирать</w:t>
      </w:r>
      <w:r w:rsidRPr="007A128E">
        <w:rPr>
          <w:rFonts w:ascii="Times New Roman" w:hAnsi="Times New Roman" w:cs="Times New Roman"/>
          <w:sz w:val="28"/>
          <w:szCs w:val="28"/>
        </w:rPr>
        <w:t xml:space="preserve"> дело по себе: сообразно своим склонностям и возможностям. </w:t>
      </w:r>
    </w:p>
    <w:p w:rsidR="00B930B8" w:rsidRPr="007A128E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Перестать</w:t>
      </w:r>
      <w:r w:rsidRPr="007A128E">
        <w:rPr>
          <w:rFonts w:ascii="Times New Roman" w:hAnsi="Times New Roman" w:cs="Times New Roman"/>
          <w:sz w:val="28"/>
          <w:szCs w:val="28"/>
        </w:rPr>
        <w:t xml:space="preserve"> искать в работе счастье или спасение. Она – не убежище, а деятельность, которая хороша сама по себе.</w:t>
      </w:r>
    </w:p>
    <w:p w:rsidR="00B930B8" w:rsidRPr="007A128E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A128E">
        <w:rPr>
          <w:rFonts w:ascii="Times New Roman" w:hAnsi="Times New Roman" w:cs="Times New Roman"/>
          <w:sz w:val="28"/>
          <w:szCs w:val="28"/>
        </w:rPr>
        <w:t>. Дни, проведенные вдали от дома, помогут отвлечься, взглянуть на свои проблемы со стороны.</w:t>
      </w:r>
    </w:p>
    <w:p w:rsidR="00B930B8" w:rsidRPr="007A128E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Научиться</w:t>
      </w:r>
      <w:r w:rsidRPr="007A128E">
        <w:rPr>
          <w:rFonts w:ascii="Times New Roman" w:hAnsi="Times New Roman" w:cs="Times New Roman"/>
          <w:sz w:val="28"/>
          <w:szCs w:val="28"/>
        </w:rPr>
        <w:t xml:space="preserve"> жить с юмором. «Юмор – соль жизни, - говорил К. Чапек, - кто лучше просолен, дольше живет</w:t>
      </w:r>
    </w:p>
    <w:p w:rsidR="00B930B8" w:rsidRPr="007A128E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A12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Снизить</w:t>
      </w:r>
      <w:r w:rsidRPr="007A128E">
        <w:rPr>
          <w:rFonts w:ascii="Times New Roman" w:hAnsi="Times New Roman" w:cs="Times New Roman"/>
          <w:sz w:val="28"/>
          <w:szCs w:val="28"/>
        </w:rPr>
        <w:t xml:space="preserve"> темп жизни! Разумнее делать меньше, но лучше, чем много, но плохо, а потом еще и переживать из-за этого «плохо».</w:t>
      </w:r>
    </w:p>
    <w:p w:rsidR="00B930B8" w:rsidRPr="007A128E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8E">
        <w:rPr>
          <w:rFonts w:ascii="Times New Roman" w:hAnsi="Times New Roman" w:cs="Times New Roman"/>
          <w:sz w:val="28"/>
          <w:szCs w:val="28"/>
        </w:rPr>
        <w:t>Риск выгорания смягчают стабильная и привлекательная работа, представляющая возможности для творчества, профессионального и личностного роста; удовлетворенность качеством жизни в различных ее аспектах; наличие разнообразных интересов, перспективные жизненные планы.</w:t>
      </w:r>
    </w:p>
    <w:p w:rsidR="00B930B8" w:rsidRPr="007A128E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8E">
        <w:rPr>
          <w:rFonts w:ascii="Times New Roman" w:hAnsi="Times New Roman" w:cs="Times New Roman"/>
          <w:sz w:val="28"/>
          <w:szCs w:val="28"/>
        </w:rPr>
        <w:t xml:space="preserve">Реже «выгорают» оптимистические и жизнерадостные люди, умеющие успешно преодолевать жизненные невзгоды и возрастные кризисы. Те, кто занимает активную жизненную позицию, и обращается к творческому поиску решения при столкновении с трудными обстоятельствами, владеет средствами </w:t>
      </w:r>
      <w:proofErr w:type="gramStart"/>
      <w:r w:rsidRPr="007A128E">
        <w:rPr>
          <w:rFonts w:ascii="Times New Roman" w:hAnsi="Times New Roman" w:cs="Times New Roman"/>
          <w:sz w:val="28"/>
          <w:szCs w:val="28"/>
        </w:rPr>
        <w:t>психической</w:t>
      </w:r>
      <w:proofErr w:type="gramEnd"/>
      <w:r w:rsidRPr="007A128E">
        <w:rPr>
          <w:rFonts w:ascii="Times New Roman" w:hAnsi="Times New Roman" w:cs="Times New Roman"/>
          <w:sz w:val="28"/>
          <w:szCs w:val="28"/>
        </w:rPr>
        <w:t xml:space="preserve"> саморегуляции, заботится о восполнении своих </w:t>
      </w:r>
      <w:proofErr w:type="spellStart"/>
      <w:r w:rsidRPr="007A128E">
        <w:rPr>
          <w:rFonts w:ascii="Times New Roman" w:hAnsi="Times New Roman" w:cs="Times New Roman"/>
          <w:sz w:val="28"/>
          <w:szCs w:val="28"/>
        </w:rPr>
        <w:t>психоэнергетических</w:t>
      </w:r>
      <w:proofErr w:type="spellEnd"/>
      <w:r w:rsidRPr="007A128E">
        <w:rPr>
          <w:rFonts w:ascii="Times New Roman" w:hAnsi="Times New Roman" w:cs="Times New Roman"/>
          <w:sz w:val="28"/>
          <w:szCs w:val="28"/>
        </w:rPr>
        <w:t xml:space="preserve"> и соц</w:t>
      </w:r>
      <w:r>
        <w:rPr>
          <w:rFonts w:ascii="Times New Roman" w:hAnsi="Times New Roman" w:cs="Times New Roman"/>
          <w:sz w:val="28"/>
          <w:szCs w:val="28"/>
        </w:rPr>
        <w:t>иально-психологических ресурсов.</w:t>
      </w:r>
    </w:p>
    <w:p w:rsidR="00B930B8" w:rsidRDefault="00B930B8" w:rsidP="00B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8E">
        <w:rPr>
          <w:rFonts w:ascii="Times New Roman" w:hAnsi="Times New Roman" w:cs="Times New Roman"/>
          <w:sz w:val="28"/>
          <w:szCs w:val="28"/>
        </w:rPr>
        <w:t>Снижают риск выгорания сильная социальная, профессиональная поддержка, круг надежных друз</w:t>
      </w:r>
      <w:r>
        <w:rPr>
          <w:rFonts w:ascii="Times New Roman" w:hAnsi="Times New Roman" w:cs="Times New Roman"/>
          <w:sz w:val="28"/>
          <w:szCs w:val="28"/>
        </w:rPr>
        <w:t xml:space="preserve">ей и поддержка со стороны семьи </w:t>
      </w:r>
      <w:r w:rsidRPr="00AA341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AA341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0B8" w:rsidRPr="007B3CE1" w:rsidRDefault="00B930B8" w:rsidP="00B930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3CE1"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</w:t>
      </w:r>
    </w:p>
    <w:p w:rsidR="00B930B8" w:rsidRPr="007B3CE1" w:rsidRDefault="00B930B8" w:rsidP="00B930B8">
      <w:pPr>
        <w:pStyle w:val="a3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CE1">
        <w:rPr>
          <w:rFonts w:ascii="Times New Roman" w:hAnsi="Times New Roman" w:cs="Times New Roman"/>
          <w:sz w:val="28"/>
          <w:szCs w:val="28"/>
        </w:rPr>
        <w:t xml:space="preserve">Бойко В.В. Синдром «эмоционального выгорания» в профессиональном общении/В.В. Бойко. СПб.: Питер, 1999. 105 </w:t>
      </w:r>
      <w:proofErr w:type="gramStart"/>
      <w:r w:rsidRPr="007B3C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3CE1">
        <w:rPr>
          <w:rFonts w:ascii="Times New Roman" w:hAnsi="Times New Roman" w:cs="Times New Roman"/>
          <w:sz w:val="28"/>
          <w:szCs w:val="28"/>
        </w:rPr>
        <w:t>.</w:t>
      </w:r>
    </w:p>
    <w:p w:rsidR="00B930B8" w:rsidRDefault="00B930B8" w:rsidP="00B930B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CE1">
        <w:rPr>
          <w:rFonts w:ascii="Times New Roman" w:eastAsia="Times New Roman" w:hAnsi="Times New Roman" w:cs="Times New Roman"/>
          <w:iCs/>
          <w:sz w:val="28"/>
          <w:szCs w:val="28"/>
        </w:rPr>
        <w:t xml:space="preserve">Водопьянова Н. Е., </w:t>
      </w:r>
      <w:proofErr w:type="spellStart"/>
      <w:r w:rsidRPr="007B3CE1">
        <w:rPr>
          <w:rFonts w:ascii="Times New Roman" w:eastAsia="Times New Roman" w:hAnsi="Times New Roman" w:cs="Times New Roman"/>
          <w:iCs/>
          <w:sz w:val="28"/>
          <w:szCs w:val="28"/>
        </w:rPr>
        <w:t>Старченкова</w:t>
      </w:r>
      <w:proofErr w:type="spellEnd"/>
      <w:r w:rsidRPr="007B3CE1">
        <w:rPr>
          <w:rFonts w:ascii="Times New Roman" w:eastAsia="Times New Roman" w:hAnsi="Times New Roman" w:cs="Times New Roman"/>
          <w:iCs/>
          <w:sz w:val="28"/>
          <w:szCs w:val="28"/>
        </w:rPr>
        <w:t xml:space="preserve"> Е. С.</w:t>
      </w:r>
      <w:r w:rsidRPr="007B3CE1">
        <w:rPr>
          <w:rFonts w:ascii="Times New Roman" w:eastAsia="Times New Roman" w:hAnsi="Times New Roman" w:cs="Times New Roman"/>
          <w:sz w:val="28"/>
          <w:szCs w:val="28"/>
        </w:rPr>
        <w:t> Синдром выгорания: диагностика и профилактика. СПб. 2005.</w:t>
      </w:r>
      <w:r w:rsidRPr="007B3CE1">
        <w:rPr>
          <w:rFonts w:ascii="Times New Roman" w:hAnsi="Times New Roman" w:cs="Times New Roman"/>
          <w:sz w:val="28"/>
          <w:szCs w:val="28"/>
        </w:rPr>
        <w:t xml:space="preserve"> </w:t>
      </w:r>
      <w:r w:rsidRPr="007B3CE1">
        <w:rPr>
          <w:rFonts w:ascii="Times New Roman" w:eastAsia="Times New Roman" w:hAnsi="Times New Roman" w:cs="Times New Roman"/>
          <w:sz w:val="28"/>
          <w:szCs w:val="28"/>
        </w:rPr>
        <w:t xml:space="preserve">336 </w:t>
      </w:r>
      <w:proofErr w:type="gramStart"/>
      <w:r w:rsidRPr="007B3CE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B3C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30B8" w:rsidRPr="007B3CE1" w:rsidRDefault="00B930B8" w:rsidP="00B930B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3C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3CE1">
        <w:rPr>
          <w:rFonts w:ascii="Times New Roman" w:hAnsi="Times New Roman" w:cs="Times New Roman"/>
          <w:sz w:val="28"/>
          <w:szCs w:val="28"/>
        </w:rPr>
        <w:t>Ланчакова</w:t>
      </w:r>
      <w:proofErr w:type="spellEnd"/>
      <w:r w:rsidRPr="007B3CE1">
        <w:rPr>
          <w:rFonts w:ascii="Times New Roman" w:hAnsi="Times New Roman" w:cs="Times New Roman"/>
          <w:sz w:val="28"/>
          <w:szCs w:val="28"/>
        </w:rPr>
        <w:t xml:space="preserve"> М.В. Как бороться с эмоциональным выгоранием педагогов? 2016 </w:t>
      </w:r>
      <w:r w:rsidRPr="007B3CE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B3CE1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7B3CE1">
          <w:rPr>
            <w:rStyle w:val="a4"/>
            <w:rFonts w:ascii="Times New Roman" w:hAnsi="Times New Roman" w:cs="Times New Roman"/>
            <w:sz w:val="28"/>
            <w:szCs w:val="28"/>
          </w:rPr>
          <w:t>https://nsportal.ru/forum/nachalnaya-shkola/2016/03/14</w:t>
        </w:r>
      </w:hyperlink>
      <w:r w:rsidRPr="007B3CE1">
        <w:rPr>
          <w:rFonts w:ascii="Times New Roman" w:hAnsi="Times New Roman" w:cs="Times New Roman"/>
          <w:sz w:val="28"/>
          <w:szCs w:val="28"/>
        </w:rPr>
        <w:t xml:space="preserve"> (дата обращения: 03.052018)</w:t>
      </w:r>
      <w:proofErr w:type="gramEnd"/>
    </w:p>
    <w:p w:rsidR="00B930B8" w:rsidRPr="007B3CE1" w:rsidRDefault="00B930B8" w:rsidP="00B930B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CE1">
        <w:rPr>
          <w:rFonts w:ascii="Times New Roman" w:hAnsi="Times New Roman" w:cs="Times New Roman"/>
          <w:sz w:val="28"/>
          <w:szCs w:val="28"/>
        </w:rPr>
        <w:t>Международная классификация</w:t>
      </w:r>
      <w:r w:rsidRPr="007B3CE1">
        <w:rPr>
          <w:rFonts w:ascii="Times New Roman" w:hAnsi="Times New Roman" w:cs="Times New Roman"/>
          <w:sz w:val="28"/>
          <w:szCs w:val="28"/>
        </w:rPr>
        <w:t xml:space="preserve"> </w:t>
      </w:r>
      <w:r w:rsidRPr="007B3CE1">
        <w:rPr>
          <w:rFonts w:ascii="Times New Roman" w:hAnsi="Times New Roman" w:cs="Times New Roman"/>
          <w:sz w:val="28"/>
          <w:szCs w:val="28"/>
        </w:rPr>
        <w:t>болезней МКБ-10.</w:t>
      </w:r>
      <w:r w:rsidRPr="007B3CE1">
        <w:rPr>
          <w:rFonts w:ascii="Times New Roman" w:hAnsi="Times New Roman" w:cs="Times New Roman"/>
          <w:sz w:val="28"/>
          <w:szCs w:val="28"/>
        </w:rPr>
        <w:t xml:space="preserve"> </w:t>
      </w:r>
      <w:r w:rsidRPr="007B3CE1">
        <w:rPr>
          <w:rFonts w:ascii="Times New Roman" w:hAnsi="Times New Roman" w:cs="Times New Roman"/>
          <w:sz w:val="28"/>
          <w:szCs w:val="28"/>
        </w:rPr>
        <w:t>Электронная версия.</w:t>
      </w:r>
      <w:r w:rsidRPr="007B3CE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B3CE1">
          <w:rPr>
            <w:rStyle w:val="a4"/>
            <w:rFonts w:ascii="Times New Roman" w:hAnsi="Times New Roman" w:cs="Times New Roman"/>
            <w:sz w:val="28"/>
            <w:szCs w:val="28"/>
          </w:rPr>
          <w:t>http://www.mkb10.ru/</w:t>
        </w:r>
      </w:hyperlink>
      <w:r w:rsidRPr="007B3CE1">
        <w:rPr>
          <w:rFonts w:ascii="Times New Roman" w:hAnsi="Times New Roman" w:cs="Times New Roman"/>
          <w:sz w:val="28"/>
          <w:szCs w:val="28"/>
        </w:rPr>
        <w:t>.</w:t>
      </w:r>
    </w:p>
    <w:p w:rsidR="00B930B8" w:rsidRPr="007B3CE1" w:rsidRDefault="00B930B8" w:rsidP="00B930B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3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Фетискин</w:t>
      </w:r>
      <w:proofErr w:type="spellEnd"/>
      <w:r w:rsidRPr="007B3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Н.П., Козлов В.В., Мануйлов Г.М. Социально-психологическая диагностика развития личности и малых групп.  М., 2002. C.360-362</w:t>
      </w:r>
    </w:p>
    <w:p w:rsidR="00B930B8" w:rsidRPr="0071364A" w:rsidRDefault="00B930B8" w:rsidP="00B930B8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777DE3" w:rsidRDefault="00777DE3"/>
    <w:sectPr w:rsidR="00777DE3" w:rsidSect="00473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0F0E"/>
    <w:multiLevelType w:val="hybridMultilevel"/>
    <w:tmpl w:val="87A67F4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0B8"/>
    <w:rsid w:val="00777DE3"/>
    <w:rsid w:val="00B9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0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30B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hyperlink" Target="http://www.mkb1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forum/nachalnaya-shkola/2016/03/14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8989759228073377"/>
          <c:y val="5.5031076505771374E-2"/>
          <c:w val="0.81010232836917484"/>
          <c:h val="0.4536236116180841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Неалекситимический тип</c:v>
                </c:pt>
                <c:pt idx="1">
                  <c:v>Группа риска</c:v>
                </c:pt>
                <c:pt idx="2">
                  <c:v>Алекситимический тип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</c:v>
                </c:pt>
                <c:pt idx="1">
                  <c:v>0.30000000000000016</c:v>
                </c:pt>
                <c:pt idx="2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Неалекситимический тип</c:v>
                </c:pt>
                <c:pt idx="1">
                  <c:v>Группа риска</c:v>
                </c:pt>
                <c:pt idx="2">
                  <c:v>Алекситимический тип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Неалекситимический тип</c:v>
                </c:pt>
                <c:pt idx="1">
                  <c:v>Группа риска</c:v>
                </c:pt>
                <c:pt idx="2">
                  <c:v>Алекситимический тип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gapWidth val="75"/>
        <c:shape val="box"/>
        <c:axId val="109219840"/>
        <c:axId val="109257856"/>
        <c:axId val="0"/>
      </c:bar3DChart>
      <c:catAx>
        <c:axId val="1092198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Выраженность</a:t>
                </a:r>
                <a:r>
                  <a:rPr lang="ru-RU" baseline="0"/>
                  <a:t> алекситимии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3750231773514503"/>
              <c:y val="0.87237315534233717"/>
            </c:manualLayout>
          </c:layout>
        </c:title>
        <c:majorTickMark val="none"/>
        <c:tickLblPos val="nextTo"/>
        <c:txPr>
          <a:bodyPr/>
          <a:lstStyle/>
          <a:p>
            <a:pPr>
              <a:defRPr sz="1280" cap="none" baseline="-25000"/>
            </a:pPr>
            <a:endParaRPr lang="ru-RU"/>
          </a:p>
        </c:txPr>
        <c:crossAx val="109257856"/>
        <c:crossesAt val="0"/>
        <c:lblAlgn val="ctr"/>
        <c:lblOffset val="100"/>
      </c:catAx>
      <c:valAx>
        <c:axId val="10925785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</a:t>
                </a:r>
                <a:r>
                  <a:rPr lang="ru-RU" baseline="0"/>
                  <a:t> студентов </a:t>
                </a:r>
                <a:endParaRPr lang="ru-RU"/>
              </a:p>
            </c:rich>
          </c:tx>
        </c:title>
        <c:numFmt formatCode="0.0%" sourceLinked="1"/>
        <c:majorTickMark val="none"/>
        <c:tickLblPos val="nextTo"/>
        <c:crossAx val="10921984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gapWidth val="75"/>
        <c:shape val="box"/>
        <c:axId val="115408256"/>
        <c:axId val="115611136"/>
        <c:axId val="0"/>
      </c:bar3DChart>
      <c:catAx>
        <c:axId val="1154082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baseline="0"/>
                  <a:t>Показатели э</a:t>
                </a:r>
                <a:r>
                  <a:rPr lang="ru-RU"/>
                  <a:t>моционального</a:t>
                </a:r>
                <a:r>
                  <a:rPr lang="ru-RU" baseline="0"/>
                  <a:t> истощения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20716119704895045"/>
              <c:y val="0.85715966227113205"/>
            </c:manualLayout>
          </c:layout>
        </c:title>
        <c:majorTickMark val="none"/>
        <c:tickLblPos val="nextTo"/>
        <c:crossAx val="115611136"/>
        <c:crosses val="autoZero"/>
        <c:lblAlgn val="ctr"/>
        <c:lblOffset val="100"/>
      </c:catAx>
      <c:valAx>
        <c:axId val="11561113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</a:t>
                </a:r>
                <a:r>
                  <a:rPr lang="ru-RU" baseline="0"/>
                  <a:t> студентов </a:t>
                </a:r>
                <a:endParaRPr lang="ru-RU"/>
              </a:p>
            </c:rich>
          </c:tx>
        </c:title>
        <c:numFmt formatCode="0.0%" sourceLinked="1"/>
        <c:majorTickMark val="none"/>
        <c:tickLblPos val="nextTo"/>
        <c:crossAx val="11540825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0.55600000000000005</c:v>
                </c:pt>
                <c:pt idx="1">
                  <c:v>0.44400000000000001</c:v>
                </c:pt>
                <c:pt idx="2">
                  <c:v>0.55600000000000005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gapWidth val="75"/>
        <c:shape val="box"/>
        <c:axId val="116228864"/>
        <c:axId val="129976192"/>
        <c:axId val="0"/>
      </c:bar3DChart>
      <c:catAx>
        <c:axId val="1162288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Показатели</a:t>
                </a:r>
                <a:r>
                  <a:rPr lang="ru-RU" baseline="0"/>
                  <a:t> </a:t>
                </a:r>
                <a:r>
                  <a:rPr lang="ru-RU"/>
                  <a:t>деперсонализации</a:t>
                </a:r>
              </a:p>
            </c:rich>
          </c:tx>
          <c:layout>
            <c:manualLayout>
              <c:xMode val="edge"/>
              <c:yMode val="edge"/>
              <c:x val="0.31118023290566987"/>
              <c:y val="0.79290278986470109"/>
            </c:manualLayout>
          </c:layout>
        </c:title>
        <c:majorTickMark val="none"/>
        <c:tickLblPos val="nextTo"/>
        <c:crossAx val="129976192"/>
        <c:crosses val="autoZero"/>
        <c:lblAlgn val="ctr"/>
        <c:lblOffset val="100"/>
      </c:catAx>
      <c:valAx>
        <c:axId val="12997619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</a:t>
                </a:r>
                <a:r>
                  <a:rPr lang="ru-RU" baseline="0"/>
                  <a:t> студентов </a:t>
                </a:r>
                <a:endParaRPr lang="ru-RU"/>
              </a:p>
            </c:rich>
          </c:tx>
        </c:title>
        <c:numFmt formatCode="0.0%" sourceLinked="1"/>
        <c:majorTickMark val="none"/>
        <c:tickLblPos val="nextTo"/>
        <c:crossAx val="11622886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0.2</c:v>
                </c:pt>
                <c:pt idx="1">
                  <c:v>0.30000000000000016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gapWidth val="75"/>
        <c:shape val="box"/>
        <c:axId val="131058304"/>
        <c:axId val="131083648"/>
        <c:axId val="0"/>
      </c:bar3DChart>
      <c:catAx>
        <c:axId val="1310583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Показатели редукции личных долтижений</a:t>
                </a:r>
                <a:r>
                  <a:rPr lang="ru-RU" baseline="0"/>
                  <a:t> 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31118023290566987"/>
              <c:y val="0.79290278986470109"/>
            </c:manualLayout>
          </c:layout>
        </c:title>
        <c:majorTickMark val="none"/>
        <c:tickLblPos val="nextTo"/>
        <c:crossAx val="131083648"/>
        <c:crosses val="autoZero"/>
        <c:lblAlgn val="ctr"/>
        <c:lblOffset val="100"/>
      </c:catAx>
      <c:valAx>
        <c:axId val="13108364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Процент</a:t>
                </a:r>
                <a:r>
                  <a:rPr lang="ru-RU" baseline="0"/>
                  <a:t> студентов </a:t>
                </a:r>
                <a:endParaRPr lang="ru-RU"/>
              </a:p>
            </c:rich>
          </c:tx>
        </c:title>
        <c:numFmt formatCode="0.0%" sourceLinked="1"/>
        <c:majorTickMark val="none"/>
        <c:tickLblPos val="nextTo"/>
        <c:crossAx val="13105830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1035</Words>
  <Characters>5900</Characters>
  <Application>Microsoft Office Word</Application>
  <DocSecurity>0</DocSecurity>
  <Lines>49</Lines>
  <Paragraphs>13</Paragraphs>
  <ScaleCrop>false</ScaleCrop>
  <Company>Microsoft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2018-05-03T06:29:00Z</dcterms:created>
  <dcterms:modified xsi:type="dcterms:W3CDTF">2018-05-03T06:33:00Z</dcterms:modified>
</cp:coreProperties>
</file>