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/>
        <w:jc w:val="center"/>
        <w:rPr>
          <w:b w:val="1"/>
        </w:rPr>
      </w:pPr>
      <w:bookmarkStart w:id="1" w:name="_GoBack"/>
      <w:bookmarkEnd w:id="1"/>
      <w:r>
        <w:rPr>
          <w:b w:val="1"/>
        </w:rPr>
        <w:t>РАБОЧИЙ ЛИСТ НА УРОКАХ РУССКОГО ЯЗЫКА И ЛИТЕРАТУРЫ КАК ИНФОРМАЦИОННО-МЕТОДИЧЕСКИЙ РЕСУРС</w:t>
      </w:r>
    </w:p>
    <w:p w14:paraId="02000000">
      <w:pPr>
        <w:widowControl w:val="1"/>
        <w:spacing w:after="0"/>
        <w:ind/>
        <w:jc w:val="right"/>
        <w:rPr>
          <w:b w:val="1"/>
          <w:i w:val="1"/>
        </w:rPr>
      </w:pPr>
    </w:p>
    <w:p w14:paraId="03000000">
      <w:pPr>
        <w:widowControl w:val="1"/>
        <w:spacing w:after="0"/>
        <w:ind/>
        <w:jc w:val="right"/>
      </w:pPr>
      <w:r>
        <w:t>Стародубцева Екатерина Владимировна,</w:t>
      </w:r>
    </w:p>
    <w:p w14:paraId="04000000">
      <w:pPr>
        <w:widowControl w:val="1"/>
        <w:spacing w:after="0"/>
        <w:ind/>
        <w:jc w:val="right"/>
      </w:pPr>
      <w:r>
        <w:t>преподаватель</w:t>
      </w:r>
    </w:p>
    <w:p w14:paraId="05000000">
      <w:pPr>
        <w:widowControl w:val="1"/>
        <w:spacing w:after="0"/>
        <w:ind/>
        <w:jc w:val="right"/>
      </w:pPr>
      <w:r>
        <w:t>СПб ГБ ПОУ «</w:t>
      </w:r>
      <w:r>
        <w:t>Малоохтинский</w:t>
      </w:r>
      <w:r>
        <w:t xml:space="preserve"> колледж»</w:t>
      </w:r>
    </w:p>
    <w:p w14:paraId="06000000">
      <w:pPr>
        <w:widowControl w:val="1"/>
        <w:spacing w:after="0"/>
        <w:ind/>
        <w:jc w:val="right"/>
      </w:pPr>
      <w:r>
        <w:t>г. Санкт-Петербург</w:t>
      </w:r>
    </w:p>
    <w:p w14:paraId="07000000">
      <w:pPr>
        <w:widowControl w:val="1"/>
        <w:spacing w:after="0"/>
        <w:ind/>
        <w:jc w:val="center"/>
        <w:rPr>
          <w:b w:val="1"/>
        </w:rPr>
      </w:pPr>
    </w:p>
    <w:p w14:paraId="08000000">
      <w:pPr>
        <w:widowControl w:val="1"/>
        <w:spacing w:after="0"/>
        <w:ind w:firstLine="709"/>
        <w:jc w:val="both"/>
      </w:pPr>
      <w:r>
        <w:t xml:space="preserve">В жизни современного общества огромную роль играет информатизация. Не стала исключением такая сфера, как образование. Информатизация позволяет образовательному процессу быть эффективным и доступным, способствует реализации индивидуального подхода. </w:t>
      </w:r>
    </w:p>
    <w:p w14:paraId="09000000">
      <w:pPr>
        <w:widowControl w:val="1"/>
        <w:spacing w:after="0"/>
        <w:ind w:firstLine="709"/>
        <w:jc w:val="both"/>
        <w:rPr>
          <w:color w:val="000000"/>
        </w:rPr>
      </w:pPr>
      <w:r>
        <w:rPr>
          <w:color w:val="000000"/>
        </w:rPr>
        <w:t>Согласно определению Российской педагогической энциклопедии, информатизация образования в широком смысле – это комплекс социально-педагогических преобразований, связанных с насыщением образовательных систем информационной продукцией, средствами и технологиями</w:t>
      </w:r>
      <w:r>
        <w:rPr>
          <w:color w:val="000000"/>
        </w:rPr>
        <w:t xml:space="preserve"> </w:t>
      </w:r>
      <w:r>
        <w:rPr>
          <w:color w:val="000000"/>
        </w:rPr>
        <w:t>[</w:t>
      </w:r>
      <w:r>
        <w:rPr>
          <w:color w:val="000000"/>
        </w:rPr>
        <w:t>2</w:t>
      </w:r>
      <w:r>
        <w:rPr>
          <w:color w:val="000000"/>
        </w:rPr>
        <w:t>]. Методические разработки, созданные с учётом образовательных потребностей конкретного учебного заведения, программы или группы</w:t>
      </w:r>
      <w:r>
        <w:rPr>
          <w:color w:val="000000"/>
        </w:rPr>
        <w:t xml:space="preserve"> </w:t>
      </w:r>
      <w:r>
        <w:rPr>
          <w:color w:val="000000"/>
        </w:rPr>
        <w:t>являются частью процесса информатизации, и могут быть использованы многократно как в рамках конкретного учебного заведения, так и быть обнародованы с целью распространения.</w:t>
      </w:r>
      <w:r>
        <w:rPr>
          <w:color w:val="000000"/>
        </w:rPr>
        <w:t xml:space="preserve"> </w:t>
      </w:r>
    </w:p>
    <w:p w14:paraId="0A000000">
      <w:pPr>
        <w:widowControl w:val="1"/>
        <w:spacing w:after="0"/>
        <w:ind w:firstLine="709"/>
        <w:jc w:val="both"/>
        <w:rPr>
          <w:color w:val="000000"/>
        </w:rPr>
      </w:pPr>
      <w:r>
        <w:rPr>
          <w:color w:val="000000"/>
        </w:rPr>
        <w:t>Одним из эффективных методических ресурсов является рабочий лист. Рабочий лист – это одноразовое дидактическое пособие на печатной основе, применяемое на небольшом отрезке учебного процесса (уроке), обязательным элементом которого выступают учебные задания с требованием ответа в специально созданных формах [</w:t>
      </w:r>
      <w:r>
        <w:rPr>
          <w:color w:val="000000"/>
        </w:rPr>
        <w:t>3</w:t>
      </w:r>
      <w:r>
        <w:rPr>
          <w:color w:val="000000"/>
        </w:rPr>
        <w:t xml:space="preserve">]. </w:t>
      </w:r>
    </w:p>
    <w:p w14:paraId="0B000000">
      <w:pPr>
        <w:widowControl w:val="1"/>
        <w:spacing w:after="0"/>
        <w:ind w:firstLine="709"/>
        <w:jc w:val="both"/>
        <w:rPr>
          <w:color w:val="000000"/>
        </w:rPr>
      </w:pPr>
      <w:r>
        <w:rPr>
          <w:color w:val="000000"/>
        </w:rPr>
        <w:t>В зависимости от цели применения выделяют следующие виды рабочих листов</w:t>
      </w:r>
      <w:r>
        <w:rPr>
          <w:color w:val="000000"/>
        </w:rPr>
        <w:t xml:space="preserve"> </w:t>
      </w:r>
      <w:r>
        <w:rPr>
          <w:color w:val="000000"/>
        </w:rPr>
        <w:t>[</w:t>
      </w:r>
      <w:r>
        <w:rPr>
          <w:color w:val="000000"/>
        </w:rPr>
        <w:t>2</w:t>
      </w:r>
      <w:r>
        <w:rPr>
          <w:color w:val="000000"/>
        </w:rPr>
        <w:t>]</w:t>
      </w:r>
      <w:r>
        <w:rPr>
          <w:color w:val="000000"/>
        </w:rPr>
        <w:t>:</w:t>
      </w:r>
    </w:p>
    <w:p w14:paraId="0C000000">
      <w:pPr>
        <w:pStyle w:val="Style_1"/>
        <w:widowControl w:val="1"/>
        <w:numPr>
          <w:ilvl w:val="0"/>
          <w:numId w:val="1"/>
        </w:numPr>
        <w:spacing w:after="0"/>
        <w:ind w:firstLine="709"/>
        <w:jc w:val="both"/>
        <w:rPr>
          <w:color w:val="000000"/>
        </w:rPr>
      </w:pPr>
      <w:r>
        <w:rPr>
          <w:i w:val="1"/>
          <w:color w:val="000000"/>
        </w:rPr>
        <w:t>Обучающие</w:t>
      </w:r>
      <w:r>
        <w:rPr>
          <w:color w:val="000000"/>
        </w:rPr>
        <w:t xml:space="preserve">, которые предполагают самостоятельную работу с учебником или другим образовательным ресурсом, освоение, воспроизведение и переработку нового материала. </w:t>
      </w:r>
    </w:p>
    <w:p w14:paraId="0D000000">
      <w:pPr>
        <w:pStyle w:val="Style_1"/>
        <w:widowControl w:val="1"/>
        <w:numPr>
          <w:ilvl w:val="0"/>
          <w:numId w:val="1"/>
        </w:numPr>
        <w:spacing w:after="0"/>
        <w:ind w:firstLine="709"/>
        <w:jc w:val="both"/>
        <w:rPr>
          <w:color w:val="000000"/>
        </w:rPr>
      </w:pPr>
      <w:r>
        <w:rPr>
          <w:i w:val="1"/>
          <w:color w:val="000000"/>
        </w:rPr>
        <w:t>Тренировочные</w:t>
      </w:r>
      <w:r>
        <w:rPr>
          <w:color w:val="000000"/>
        </w:rPr>
        <w:t xml:space="preserve">, целью применения которых является отработка знаний и способов действий на практике. </w:t>
      </w:r>
    </w:p>
    <w:p w14:paraId="0E000000">
      <w:pPr>
        <w:pStyle w:val="Style_1"/>
        <w:widowControl w:val="1"/>
        <w:numPr>
          <w:ilvl w:val="0"/>
          <w:numId w:val="1"/>
        </w:numPr>
        <w:spacing w:after="0"/>
        <w:ind w:firstLine="709"/>
        <w:jc w:val="both"/>
        <w:rPr>
          <w:color w:val="000000"/>
        </w:rPr>
      </w:pPr>
      <w:r>
        <w:rPr>
          <w:i w:val="1"/>
          <w:color w:val="000000"/>
        </w:rPr>
        <w:t>Исследовательские</w:t>
      </w:r>
      <w:r>
        <w:rPr>
          <w:color w:val="000000"/>
        </w:rPr>
        <w:t xml:space="preserve"> рабочие листы, целью которых является решение учебной проблемы. Такие рабочие листы отражают структуру проблемного урока или его части: формулировку проблемы, постановку гипотезы, выдвижение предположений, доказательство или опровержение гипотезы. </w:t>
      </w:r>
    </w:p>
    <w:p w14:paraId="0F000000">
      <w:pPr>
        <w:pStyle w:val="Style_1"/>
        <w:widowControl w:val="1"/>
        <w:numPr>
          <w:ilvl w:val="0"/>
          <w:numId w:val="1"/>
        </w:numPr>
        <w:spacing w:after="0"/>
        <w:ind w:firstLine="709"/>
        <w:jc w:val="both"/>
        <w:rPr>
          <w:color w:val="000000"/>
        </w:rPr>
      </w:pPr>
      <w:r>
        <w:rPr>
          <w:i w:val="1"/>
          <w:color w:val="000000"/>
        </w:rPr>
        <w:t>Рефлексивные</w:t>
      </w:r>
      <w:r>
        <w:rPr>
          <w:color w:val="000000"/>
        </w:rPr>
        <w:t xml:space="preserve"> рабочие листы эффективно применять на уроках повторения и обобщения. </w:t>
      </w:r>
    </w:p>
    <w:p w14:paraId="10000000">
      <w:pPr>
        <w:pStyle w:val="Style_1"/>
        <w:widowControl w:val="1"/>
        <w:numPr>
          <w:ilvl w:val="0"/>
          <w:numId w:val="1"/>
        </w:numPr>
        <w:spacing w:after="0"/>
        <w:ind w:firstLine="709"/>
        <w:jc w:val="both"/>
        <w:rPr>
          <w:color w:val="000000"/>
        </w:rPr>
      </w:pPr>
      <w:r>
        <w:rPr>
          <w:i w:val="1"/>
          <w:color w:val="000000"/>
        </w:rPr>
        <w:t>К</w:t>
      </w:r>
      <w:r>
        <w:rPr>
          <w:i w:val="1"/>
          <w:color w:val="000000"/>
        </w:rPr>
        <w:t>омбинированные</w:t>
      </w:r>
      <w:r>
        <w:rPr>
          <w:i w:val="1"/>
          <w:color w:val="000000"/>
        </w:rPr>
        <w:t xml:space="preserve"> </w:t>
      </w:r>
      <w:r>
        <w:rPr>
          <w:color w:val="000000"/>
        </w:rPr>
        <w:t xml:space="preserve">рабочие листы, которые сочетают элементы рабочих листов предыдущих типов. </w:t>
      </w:r>
    </w:p>
    <w:p w14:paraId="11000000">
      <w:pPr>
        <w:widowControl w:val="1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Использование рабочих листов как методического ресурса на уроках русского языка и литературы имеет следующие </w:t>
      </w:r>
      <w:r>
        <w:rPr>
          <w:b w:val="1"/>
          <w:color w:val="000000"/>
        </w:rPr>
        <w:t>преимущества</w:t>
      </w:r>
      <w:r>
        <w:rPr>
          <w:color w:val="000000"/>
        </w:rPr>
        <w:t>:</w:t>
      </w:r>
    </w:p>
    <w:p w14:paraId="12000000">
      <w:pPr>
        <w:widowControl w:val="1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1. Позволяет включить в активную работу на занятии </w:t>
      </w:r>
      <w:r>
        <w:rPr>
          <w:color w:val="000000"/>
        </w:rPr>
        <w:t>всю группу обучающихся</w:t>
      </w:r>
      <w:r>
        <w:rPr>
          <w:color w:val="000000"/>
        </w:rPr>
        <w:t>.</w:t>
      </w:r>
    </w:p>
    <w:p w14:paraId="13000000">
      <w:pPr>
        <w:widowControl w:val="1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2. Служит средством мотивации </w:t>
      </w:r>
      <w:r>
        <w:rPr>
          <w:color w:val="000000"/>
        </w:rPr>
        <w:t>обучающихся</w:t>
      </w:r>
      <w:r>
        <w:rPr>
          <w:color w:val="000000"/>
        </w:rPr>
        <w:t>, так как проверка рабочих листов позволяет оценить работу каждого студента.</w:t>
      </w:r>
    </w:p>
    <w:p w14:paraId="14000000">
      <w:pPr>
        <w:widowControl w:val="1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3. Проверка рабочих листов даёт преподавателю возможность проверить степень усвоения знаний и дать оперативную обратную связь для устранения пробелов или повторения материала, освоение которого вызвало затруднения. Способствуют этому также включение рефлексивного элемента в рабочие листы других типов. Кроме того, анализ заполненных рабочих листов помогает преподавателю в оценке собственного урока. </w:t>
      </w:r>
    </w:p>
    <w:p w14:paraId="15000000">
      <w:pPr>
        <w:widowControl w:val="1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4. Включение в рабочие листы заданий разного </w:t>
      </w:r>
      <w:r>
        <w:rPr>
          <w:color w:val="000000"/>
        </w:rPr>
        <w:t xml:space="preserve">уровня </w:t>
      </w:r>
      <w:r>
        <w:rPr>
          <w:color w:val="000000"/>
        </w:rPr>
        <w:t xml:space="preserve">способствует реализации индивидуального подхода. </w:t>
      </w:r>
    </w:p>
    <w:p w14:paraId="16000000">
      <w:pPr>
        <w:widowControl w:val="1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5. Качественно проработанный рабочий лист по теме становится опорным конспектом, которым студент может пользоваться на других уроках по теме или при подготовке к экзамену. </w:t>
      </w:r>
    </w:p>
    <w:p w14:paraId="17000000">
      <w:pPr>
        <w:widowControl w:val="1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6. Рабочий лист является гибким средством обучения, его можно дополнять или сокращать с учетом образовательных потребностей конкретной учебной группы, содержания или структуры урока, использовать на любом этапе урока. </w:t>
      </w:r>
    </w:p>
    <w:p w14:paraId="18000000">
      <w:pPr>
        <w:widowControl w:val="1"/>
        <w:spacing w:after="0"/>
        <w:ind w:firstLine="709"/>
        <w:jc w:val="both"/>
        <w:rPr>
          <w:b w:val="1"/>
        </w:rPr>
      </w:pPr>
      <w:r>
        <w:rPr>
          <w:b w:val="1"/>
        </w:rPr>
        <w:t>Применение рабочих листов на уроке русского языка при изучении раздела «Лексика и фразеология».</w:t>
      </w:r>
    </w:p>
    <w:p w14:paraId="19000000">
      <w:pPr>
        <w:widowControl w:val="1"/>
        <w:spacing w:after="0"/>
        <w:ind w:firstLine="709"/>
        <w:jc w:val="both"/>
      </w:pPr>
      <w:r>
        <w:t xml:space="preserve">Данная разработка представляет собой тренировочный рабочий лист, его основа – практические задания по разделу «Лексика и фразеология». Цель применения разработки – усвоение лексических норм, расширение словарного запаса обучающихся, развитие навыка точной, ясной речи. </w:t>
      </w:r>
    </w:p>
    <w:p w14:paraId="1A000000">
      <w:pPr>
        <w:widowControl w:val="1"/>
        <w:spacing w:after="0"/>
        <w:ind w:firstLine="709"/>
        <w:jc w:val="both"/>
      </w:pPr>
      <w:r>
        <w:t xml:space="preserve">При выполнении первого задания обучающимся нужно вспомнить теоретический материал по теме и правильно определить вид синонимов. В заданиях 2 и 3 нужно выполнить словарную работу: подобрать как можно больше синонимов к данным словам, затем подобрать антонимы к приведённым словам. Второе задание рекомендуется проверить совместно, чтобы студенты могли дополнить свои ответы. Мотивирующим фактором может стать внесение элемента соревнования при проверке второго задания, например: кто назовёт больше синонимов? Кто назовёт, не повторяясь, последний синоним к слову? </w:t>
      </w:r>
    </w:p>
    <w:p w14:paraId="1B000000">
      <w:pPr>
        <w:widowControl w:val="1"/>
        <w:spacing w:after="0"/>
        <w:ind w:firstLine="709"/>
        <w:jc w:val="both"/>
      </w:pPr>
      <w:r>
        <w:t xml:space="preserve">В задании 4 обучающимся нужно подобрать антонимы к многозначным словам, составив словосочетания. В задании 5 студенты заполняют таблицу, в которой нужно определить значение фразеологизма, подобрать к нему </w:t>
      </w:r>
      <w:r>
        <w:t xml:space="preserve">синонимичные и антонимичные крылатые выражения. Для данной работы может потребоваться фразеологический словарь. Следующие задания предполагают отработку знаний по теме «Лексические нормы». В задании 6 даны предложения с лексическими ошибками. Задача обучающихся – не только найти и исправить ошибку, но и правильно указать её вид. Задание 7 представляет собой текст, насыщенный плеоназмами. Студентам необходимо найти как можно больше ошибок этого типа. </w:t>
      </w:r>
    </w:p>
    <w:p w14:paraId="1C000000">
      <w:pPr>
        <w:widowControl w:val="1"/>
        <w:spacing w:after="0"/>
        <w:ind w:firstLine="709"/>
        <w:jc w:val="both"/>
        <w:rPr>
          <w:b w:val="1"/>
        </w:rPr>
      </w:pPr>
      <w:r>
        <w:rPr>
          <w:b w:val="1"/>
        </w:rPr>
        <w:t>Применение рабочего листа на уроке литературы по теме</w:t>
      </w:r>
      <w:r>
        <w:t xml:space="preserve"> </w:t>
      </w:r>
      <w:r>
        <w:rPr>
          <w:b w:val="1"/>
        </w:rPr>
        <w:t>«Максим Горький. Романтические рассказы».</w:t>
      </w:r>
    </w:p>
    <w:p w14:paraId="1D000000">
      <w:pPr>
        <w:widowControl w:val="1"/>
        <w:spacing w:after="0"/>
        <w:ind w:firstLine="709"/>
        <w:jc w:val="both"/>
      </w:pPr>
      <w:r>
        <w:t xml:space="preserve">Основу рабочего листа по теме составляют задания разного типа. В задании 1 студентам необходимо заполнить сведения о ранних годах жизни Максима Горького, слушая рассказ преподавателя. </w:t>
      </w:r>
    </w:p>
    <w:p w14:paraId="1E000000">
      <w:pPr>
        <w:widowControl w:val="1"/>
        <w:spacing w:after="0"/>
        <w:ind w:firstLine="709"/>
        <w:jc w:val="both"/>
      </w:pPr>
      <w:r>
        <w:t>В з</w:t>
      </w:r>
      <w:r>
        <w:t>адани</w:t>
      </w:r>
      <w:r>
        <w:t>и</w:t>
      </w:r>
      <w:r>
        <w:t xml:space="preserve"> 2 студентам необходимо актуализировать свои знания о романтизме, вспомнить, как изображается мир и человек, что такое принцип романтического </w:t>
      </w:r>
      <w:r>
        <w:t>двоемирия</w:t>
      </w:r>
      <w:r>
        <w:t xml:space="preserve">, каковы особенности </w:t>
      </w:r>
      <w:r>
        <w:t>хронотопа</w:t>
      </w:r>
      <w:r>
        <w:t>, назвать известных по изученным ранее произведениям романтических героев. Преподаватель направляет мысль студентов, задает наводящие или уточняющие вопросы. По результатам беседы студенты заполняют кластер.</w:t>
      </w:r>
    </w:p>
    <w:p w14:paraId="1F000000">
      <w:pPr>
        <w:widowControl w:val="1"/>
        <w:spacing w:after="0"/>
        <w:ind w:firstLine="709"/>
        <w:jc w:val="both"/>
      </w:pPr>
      <w:r>
        <w:t xml:space="preserve">Целью задания 3 является проверка домашнего задания: необходимо про приведённому отрывку угадать героя рассказа Горького. Задание 4 выполняется с опорой на текст произведения, а именно на фрагменты описания пейзажа. Фрагменты могут быть выбраны студентами дома (как часть домашнего задания), выданы на печатных носителях или выведены на экран. В последнем случае они могут быть проиллюстрированы картинами художников-романтиков, иллюстрациями к рассказу. Результатом выполнения задания становится вывод о роли пейзажа в рассказах Горького, их романтическом характере. </w:t>
      </w:r>
    </w:p>
    <w:p w14:paraId="20000000">
      <w:pPr>
        <w:widowControl w:val="1"/>
        <w:spacing w:after="0"/>
        <w:ind w:firstLine="709"/>
        <w:jc w:val="both"/>
      </w:pPr>
      <w:r>
        <w:t xml:space="preserve">Задания 5 и 6 выполняются в процессе </w:t>
      </w:r>
      <w:r>
        <w:t>беседы по рассказу</w:t>
      </w:r>
      <w:r>
        <w:rPr>
          <w:i w:val="1"/>
        </w:rPr>
        <w:t xml:space="preserve"> </w:t>
      </w:r>
      <w:r>
        <w:t>рассказа «Старуха Изергиль». Задание 5 представляет собой схему, в которой качества и характеристики героев фиксируются по принципу противопоставления: тень – свет, преступление – подвиг. Одновременно проводится словарная работа (</w:t>
      </w:r>
      <w:r>
        <w:rPr>
          <w:i w:val="1"/>
        </w:rPr>
        <w:t>гордыня – гордость</w:t>
      </w:r>
      <w:r>
        <w:t xml:space="preserve">), повторение термина </w:t>
      </w:r>
      <w:r>
        <w:rPr>
          <w:i w:val="1"/>
        </w:rPr>
        <w:t>антитеза</w:t>
      </w:r>
      <w:r>
        <w:t xml:space="preserve">. </w:t>
      </w:r>
    </w:p>
    <w:p w14:paraId="21000000">
      <w:pPr>
        <w:widowControl w:val="1"/>
        <w:spacing w:after="0"/>
        <w:ind w:firstLine="709"/>
        <w:jc w:val="both"/>
      </w:pPr>
      <w:r>
        <w:t xml:space="preserve">В задании 6 студентам предлагается оценить судьбы героев рассказа: героизм, альтруизм, самопожертвование Данко; гордыня, крайний индивидуализм </w:t>
      </w:r>
      <w:r>
        <w:t>Ларры</w:t>
      </w:r>
      <w:r>
        <w:t xml:space="preserve">; безрассудная, страстная любовь Изергиль. </w:t>
      </w:r>
      <w:r>
        <w:t>Делается вывод о предельности проявления качеств у романтического героя, отсутствии полутонов</w:t>
      </w:r>
      <w:r>
        <w:t>, максимализме</w:t>
      </w:r>
      <w:r>
        <w:t>.</w:t>
      </w:r>
      <w:r>
        <w:t xml:space="preserve"> На этом этапе продолжается словарная работа.  предполагается время на самостоятельное выполнение и последующее обсуждение. </w:t>
      </w:r>
    </w:p>
    <w:p w14:paraId="22000000">
      <w:pPr>
        <w:widowControl w:val="1"/>
        <w:spacing w:after="0"/>
        <w:ind w:firstLine="709"/>
        <w:jc w:val="both"/>
      </w:pPr>
      <w:r>
        <w:t xml:space="preserve">В задании 7 нужно определить тип композиции рассказов: рамочная («рассказ в рассказе»). После зарисовки схемы студенты </w:t>
      </w:r>
      <w:r>
        <w:t>делают вывод о том</w:t>
      </w:r>
      <w:r>
        <w:t xml:space="preserve">, что составляет содержание рассказов, вставленных в рамку (легенды и </w:t>
      </w:r>
      <w:r>
        <w:t xml:space="preserve">истории, переданные рассказчиком), а что – содержание основного сюжета. В ходе коллективного обсуждения </w:t>
      </w:r>
      <w:r>
        <w:t>формулируется</w:t>
      </w:r>
      <w:r>
        <w:t xml:space="preserve"> вывод о том, что рассказчик передает в том числе и свои представления о мире, свою систему ценностей.</w:t>
      </w:r>
    </w:p>
    <w:p w14:paraId="23000000">
      <w:pPr>
        <w:widowControl w:val="1"/>
        <w:spacing w:after="0"/>
        <w:ind w:firstLine="709"/>
        <w:jc w:val="both"/>
      </w:pPr>
      <w:r>
        <w:t xml:space="preserve">Задание 8 посвящено анализу роли повествователя. В ходе беседы студентам нужно ответить на вопросы: что читатель знает о нём: его занятиях, социальном положении, биографической близости автору, типичности для своего времени. Предлагается поразмышлять над вопросом, почему повествователь находится в тени своих героев, как он проявляет себя в качестве слушателя (внимательный, чуткий, заинтересованный, сопереживающий…). Основные тезисы фиксируются в рабочем листе, формулируется вывод: повествователь - единственный реалистический персонаж среди романтических. В подтверждение сказанному преподаватель зачитывает слова </w:t>
      </w:r>
      <w:r>
        <w:t>В.Г.Короленко</w:t>
      </w:r>
      <w:r>
        <w:t xml:space="preserve">, адресованные Горькому: </w:t>
      </w:r>
      <w:r>
        <w:t xml:space="preserve">«Вы можете создавать характеры, люди говорят и действуют у вас от себя, от своей сущности, Вы умеете не вмешиваться в течение их мысли, игру чувств, это не каждому даётся!.. Я же говорил Вам, что Вы </w:t>
      </w:r>
      <w:r>
        <w:t>реалист!...</w:t>
      </w:r>
      <w:r>
        <w:t xml:space="preserve"> Но в то же время – романтик</w:t>
      </w:r>
      <w:r>
        <w:t xml:space="preserve">!». </w:t>
      </w:r>
    </w:p>
    <w:p w14:paraId="24000000">
      <w:pPr>
        <w:widowControl w:val="1"/>
        <w:spacing w:after="0"/>
        <w:ind w:firstLine="709"/>
        <w:jc w:val="both"/>
        <w:rPr>
          <w:color w:val="000000"/>
        </w:rPr>
      </w:pPr>
      <w:r>
        <w:t>Таким образом, использование рабочих листов помогает преподавателю в эффективной организации деятельности студентов на занятии, даёт возможность получить обратную связь</w:t>
      </w:r>
      <w:r>
        <w:t xml:space="preserve"> и</w:t>
      </w:r>
      <w:r>
        <w:t xml:space="preserve"> служит дополнительным средством мотивации</w:t>
      </w:r>
      <w:r>
        <w:t xml:space="preserve">. Рабочий </w:t>
      </w:r>
      <w:r>
        <w:rPr>
          <w:color w:val="000000"/>
        </w:rPr>
        <w:t xml:space="preserve">лист можно рассматривать одновременно как методический ресурс, и как информационный продукт, создаваемый с учетом потребностей конкретного учебного заведения и учебной программы. </w:t>
      </w:r>
    </w:p>
    <w:p w14:paraId="25000000">
      <w:pPr>
        <w:widowControl w:val="1"/>
        <w:spacing w:after="0"/>
        <w:ind w:firstLine="709"/>
        <w:jc w:val="both"/>
      </w:pPr>
    </w:p>
    <w:p w14:paraId="26000000">
      <w:pPr>
        <w:widowControl w:val="1"/>
        <w:spacing w:after="0"/>
        <w:ind w:firstLine="709"/>
        <w:jc w:val="both"/>
      </w:pPr>
    </w:p>
    <w:p w14:paraId="27000000">
      <w:pPr>
        <w:widowControl w:val="1"/>
        <w:ind/>
        <w:jc w:val="both"/>
      </w:pPr>
      <w:r>
        <w:t xml:space="preserve">Список источников: </w:t>
      </w:r>
    </w:p>
    <w:p w14:paraId="28000000">
      <w:pPr>
        <w:pStyle w:val="Style_1"/>
        <w:widowControl w:val="1"/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 xml:space="preserve">Головина Е.В. Рабочий лист как средство развития познавательной деятельности на уроках русского языка и литературы. [Электронный ресурс] – Режим доступа: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"https://infourok.ru/metodicheskij-material-rabochij-list-kak-sredstvo-razvitiya-poznavatelnoj-deyatelnosti-na-urokah-russkogo-yazyka-i-literatury-5655056.html"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https://infourok.ru/metodicheskij-material-rabochij-list-kak-sredstvo-razvitiya-poznavatelnoj-deyatelnosti-na-urokah-russkogo-yazyka-i-literatury-5655056.html</w:t>
      </w:r>
      <w:r>
        <w:rPr>
          <w:rStyle w:val="Style_2_ch"/>
        </w:rPr>
        <w:fldChar w:fldCharType="end"/>
      </w:r>
    </w:p>
    <w:p w14:paraId="29000000">
      <w:pPr>
        <w:pStyle w:val="Style_1"/>
        <w:widowControl w:val="1"/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 xml:space="preserve">Информатизация образования [Электронный ресурс] // Российская педагогическая энциклопедия. — Режим доступа: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"https://pedagogicheskaya.academic.ru/1241/"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https://pedagogicheskaya.academic.ru/1241/</w:t>
      </w:r>
      <w:r>
        <w:rPr>
          <w:rStyle w:val="Style_2_ch"/>
        </w:rPr>
        <w:fldChar w:fldCharType="end"/>
      </w:r>
    </w:p>
    <w:p w14:paraId="2A000000">
      <w:pPr>
        <w:pStyle w:val="Style_1"/>
        <w:widowControl w:val="1"/>
        <w:numPr>
          <w:ilvl w:val="0"/>
          <w:numId w:val="2"/>
        </w:numPr>
        <w:ind/>
        <w:jc w:val="both"/>
        <w:rPr>
          <w:color w:val="000000"/>
        </w:rPr>
      </w:pPr>
      <w:r>
        <w:rPr>
          <w:color w:val="000000"/>
        </w:rPr>
        <w:t>Миренкова</w:t>
      </w:r>
      <w:r>
        <w:rPr>
          <w:color w:val="000000"/>
        </w:rPr>
        <w:t xml:space="preserve"> Е.В. Рабочий лист как средство организации самостоятельной познавательной деятельности в естественно-научном образовании // Ценности и смыслы. 2021. № 1 (71). С.115 – 130.</w:t>
      </w:r>
    </w:p>
    <w:p w14:paraId="2B000000">
      <w:pPr>
        <w:widowControl w:val="1"/>
        <w:ind/>
        <w:jc w:val="both"/>
      </w:pPr>
    </w:p>
    <w:p w14:paraId="2C000000">
      <w:pPr>
        <w:widowControl w:val="1"/>
        <w:ind/>
        <w:jc w:val="both"/>
      </w:pPr>
    </w:p>
    <w:p w14:paraId="2D000000">
      <w:pPr>
        <w:widowControl w:val="1"/>
        <w:ind/>
        <w:jc w:val="both"/>
      </w:pPr>
    </w:p>
    <w:p w14:paraId="2E000000">
      <w:pPr>
        <w:widowControl w:val="1"/>
        <w:ind/>
        <w:jc w:val="right"/>
      </w:pPr>
      <w:r>
        <w:t xml:space="preserve">Приложение: </w:t>
      </w:r>
    </w:p>
    <w:p w14:paraId="2F000000">
      <w:r>
        <w:drawing>
          <wp:inline>
            <wp:extent cx="5133975" cy="7411593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533" r="1776" t="0"/>
                    <a:stretch/>
                  </pic:blipFill>
                  <pic:spPr>
                    <a:xfrm flipH="false" flipV="false" rot="0">
                      <a:ext cx="5133975" cy="741159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0000000">
      <w:pPr>
        <w:widowControl w:val="1"/>
        <w:ind/>
        <w:jc w:val="center"/>
      </w:pPr>
      <w:r>
        <w:t>Рис. 1</w:t>
      </w:r>
      <w:r>
        <w:t xml:space="preserve"> Рабочий лист к уроку русского языка</w:t>
      </w:r>
    </w:p>
    <w:p w14:paraId="31000000"/>
    <w:p w14:paraId="32000000"/>
    <w:p w14:paraId="33000000"/>
    <w:p w14:paraId="34000000">
      <w:r>
        <w:drawing>
          <wp:inline>
            <wp:extent cx="5229225" cy="751522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229225" cy="75152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5000000">
      <w:pPr>
        <w:widowControl w:val="1"/>
        <w:ind/>
        <w:jc w:val="center"/>
      </w:pPr>
      <w:r>
        <w:t>Рис. 2</w:t>
      </w:r>
      <w:r>
        <w:t xml:space="preserve"> Рабочий лист к уроку русского языка (продолжение)</w:t>
      </w:r>
    </w:p>
    <w:p w14:paraId="36000000"/>
    <w:p w14:paraId="37000000"/>
    <w:p w14:paraId="38000000"/>
    <w:p w14:paraId="39000000"/>
    <w:p w14:paraId="3A000000">
      <w:r>
        <w:drawing>
          <wp:inline>
            <wp:extent cx="5114925" cy="709612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114925" cy="7096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B000000">
      <w:pPr>
        <w:widowControl w:val="1"/>
        <w:ind/>
        <w:jc w:val="center"/>
      </w:pPr>
      <w:r>
        <w:t>Рис. 3</w:t>
      </w:r>
      <w:r>
        <w:t xml:space="preserve"> Рабочий лист к уроку русского языка (продолжение)</w:t>
      </w:r>
    </w:p>
    <w:p w14:paraId="3C000000"/>
    <w:p w14:paraId="3D000000"/>
    <w:p w14:paraId="3E000000"/>
    <w:p w14:paraId="3F000000"/>
    <w:p w14:paraId="40000000"/>
    <w:p w14:paraId="41000000">
      <w:r>
        <w:drawing>
          <wp:inline>
            <wp:extent cx="5210175" cy="746760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10175" cy="7467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2000000">
      <w:pPr>
        <w:widowControl w:val="1"/>
        <w:ind/>
        <w:jc w:val="center"/>
      </w:pPr>
      <w:r>
        <w:t>Рис. 4</w:t>
      </w:r>
      <w:r>
        <w:t xml:space="preserve"> Рабочий лист к уроку литературы</w:t>
      </w:r>
    </w:p>
    <w:p w14:paraId="43000000"/>
    <w:p w14:paraId="44000000"/>
    <w:p w14:paraId="45000000"/>
    <w:p w14:paraId="46000000"/>
    <w:p w14:paraId="47000000"/>
    <w:p w14:paraId="48000000">
      <w:r>
        <w:drawing>
          <wp:inline>
            <wp:extent cx="5200650" cy="7391400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200650" cy="7391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9000000">
      <w:pPr>
        <w:widowControl w:val="1"/>
        <w:ind/>
        <w:jc w:val="center"/>
      </w:pPr>
      <w:r>
        <w:t>Рис.5</w:t>
      </w:r>
      <w:r>
        <w:t xml:space="preserve"> Рабочий лист к уроку литературы (продолжение)</w:t>
      </w:r>
    </w:p>
    <w:p w14:paraId="4A000000"/>
    <w:p w14:paraId="4B000000"/>
    <w:p w14:paraId="4C000000"/>
    <w:p w14:paraId="4D000000">
      <w:pPr>
        <w:widowControl w:val="1"/>
        <w:ind/>
        <w:jc w:val="center"/>
      </w:pPr>
      <w:r>
        <w:drawing>
          <wp:inline>
            <wp:extent cx="5153025" cy="7343775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153025" cy="7343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E000000">
      <w:pPr>
        <w:widowControl w:val="1"/>
        <w:ind/>
        <w:jc w:val="center"/>
      </w:pPr>
      <w:r>
        <w:t>Рис.7</w:t>
      </w:r>
      <w:r>
        <w:t xml:space="preserve"> Рабочий лист к уроку литературы (продолжение)</w:t>
      </w:r>
    </w:p>
    <w:p w14:paraId="4F000000"/>
    <w:p w14:paraId="50000000"/>
    <w:p w14:paraId="51000000"/>
    <w:p w14:paraId="52000000"/>
    <w:p w14:paraId="53000000">
      <w:r>
        <w:drawing>
          <wp:inline>
            <wp:extent cx="5124450" cy="7429500"/>
            <wp:effectExtent b="0" l="0" r="0" t="0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124450" cy="7429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4000000">
      <w:pPr>
        <w:widowControl w:val="1"/>
        <w:ind/>
        <w:jc w:val="center"/>
      </w:pPr>
      <w:r>
        <w:t>Рис.8</w:t>
      </w:r>
      <w:r>
        <w:t xml:space="preserve"> Рабочий лист к уроку литературы (продолжение)</w:t>
      </w: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List Paragraph"/>
    <w:basedOn w:val="Style_3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10"/>
    <w:link w:val="Style_2_ch"/>
    <w:rPr>
      <w:color w:themeColor="hyperlink" w:val="0563C1"/>
      <w:u w:val="single"/>
    </w:rPr>
  </w:style>
  <w:style w:styleId="Style_2_ch" w:type="character">
    <w:name w:val="Hyperlink"/>
    <w:basedOn w:val="Style_10_ch"/>
    <w:link w:val="Style_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7.png" Type="http://schemas.openxmlformats.org/officeDocument/2006/relationships/image"/>
  <Relationship Id="rId6" Target="media/6.png" Type="http://schemas.openxmlformats.org/officeDocument/2006/relationships/image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media/4.png" Type="http://schemas.openxmlformats.org/officeDocument/2006/relationships/image"/>
  <Relationship Id="rId3" Target="media/3.png" Type="http://schemas.openxmlformats.org/officeDocument/2006/relationships/imag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media/5.png" Type="http://schemas.openxmlformats.org/officeDocument/2006/relationships/image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media/2.png" Type="http://schemas.openxmlformats.org/officeDocument/2006/relationships/image"/>
  <Relationship Id="rId9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2025-06-05T07:45:00Z</dcterms:created>
  <dcterms:modified xsi:type="dcterms:W3CDTF">2025-06-06T07:35:16Z</dcterms:modified>
</cp:coreProperties>
</file>