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AE" w:rsidRPr="001136AE" w:rsidRDefault="001136AE" w:rsidP="001136AE">
      <w:pPr>
        <w:shd w:val="clear" w:color="auto" w:fill="FFFFFF"/>
        <w:spacing w:after="63" w:line="238" w:lineRule="atLeast"/>
        <w:jc w:val="center"/>
        <w:rPr>
          <w:rFonts w:ascii="Times New Roman" w:eastAsia="Times New Roman" w:hAnsi="Times New Roman" w:cs="Times New Roman"/>
          <w:color w:val="F9F2BE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Базовые принципы композиции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Georgia" w:eastAsia="Times New Roman" w:hAnsi="Georgia" w:cs="Times New Roman"/>
          <w:color w:val="F9F2BE"/>
          <w:sz w:val="19"/>
          <w:szCs w:val="19"/>
          <w:lang w:eastAsia="ru-RU"/>
        </w:rPr>
      </w:pPr>
      <w:r w:rsidRPr="001136AE">
        <w:rPr>
          <w:rFonts w:ascii="Georgia" w:eastAsia="Times New Roman" w:hAnsi="Georgia" w:cs="Times New Roman"/>
          <w:color w:val="800000"/>
          <w:sz w:val="27"/>
          <w:szCs w:val="27"/>
          <w:lang w:eastAsia="ru-RU"/>
        </w:rPr>
        <w:t xml:space="preserve">  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Georgia" w:eastAsia="Times New Roman" w:hAnsi="Georgia" w:cs="Times New Roman"/>
          <w:color w:val="F9F2BE"/>
          <w:sz w:val="19"/>
          <w:szCs w:val="19"/>
          <w:lang w:eastAsia="ru-RU"/>
        </w:rPr>
      </w:pPr>
      <w:r>
        <w:rPr>
          <w:rFonts w:ascii="Georgia" w:eastAsia="Times New Roman" w:hAnsi="Georgia" w:cs="Times New Roman"/>
          <w:noProof/>
          <w:color w:val="8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-1049</wp:posOffset>
            </wp:positionV>
            <wp:extent cx="1523503" cy="1089329"/>
            <wp:effectExtent l="19050" t="0" r="497" b="0"/>
            <wp:wrapSquare wrapText="bothSides"/>
            <wp:docPr id="1" name="Рисунок 1" descr="П. БРЕЙГЕЛЬ СТАРШИЙ. Охотники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. БРЕЙГЕЛЬ СТАРШИЙ. Охотники на снегу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03" cy="108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6AE" w:rsidRPr="001136AE" w:rsidRDefault="001136AE" w:rsidP="001136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Georgia" w:eastAsia="Times New Roman" w:hAnsi="Georgia" w:cs="Times New Roman"/>
          <w:color w:val="800000"/>
          <w:sz w:val="27"/>
          <w:szCs w:val="27"/>
          <w:shd w:val="clear" w:color="auto" w:fill="FFFFFF"/>
          <w:lang w:eastAsia="ru-RU"/>
        </w:rPr>
        <w:t xml:space="preserve"> </w:t>
      </w:r>
      <w:hyperlink r:id="rId5" w:history="1">
        <w:r w:rsidRPr="00675FD1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u w:val="single"/>
            <w:lang w:eastAsia="ru-RU"/>
          </w:rPr>
          <w:t>Композиция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  изобразительном искусстве связана с  необходимостью  передать основной  замысел, идею произведения  наиболее ясно  и  убедительно. Главное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– создание  художественного образа. Картины, написанные в разные эпохи, в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совершенно различных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стилях, поражают наше воображение и надолго запоминаются во многом благодаря  четкому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композиционному построению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 И действительно если попробовать  в  картинах 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" w:tgtFrame="_blank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П. Брейгеля Старшего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«Охотники на снегу», П. Гогена « </w:t>
      </w:r>
      <w:proofErr w:type="spell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Бонжур</w:t>
      </w:r>
      <w:proofErr w:type="spell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мосье Гоген»  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" w:tgtFrame="_blank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В. Сурикова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«Боярыня  Морозова» что-либо   изменить, например размер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8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холста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соотношение темных и светлых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9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пятен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количество фигур, высоту линии горизонта и т. п.,  цельность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сразу  разрушается, равновесие  частей  утрачивается.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2374</wp:posOffset>
            </wp:positionV>
            <wp:extent cx="1024807" cy="1367625"/>
            <wp:effectExtent l="19050" t="0" r="3893" b="0"/>
            <wp:wrapSquare wrapText="bothSides"/>
            <wp:docPr id="2" name="Рисунок 2" descr="П. ГОГЕН, Бонжур, мосье Г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. ГОГЕН, Бонжур, мосье Гоге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07" cy="13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Не случайно в качестве примеров предложено рассмотреть такие  разные по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11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живописи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12" w:tgtFrame="_blank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манере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произведения. Отсутствие возможности внести  изменения в законченную картину подтверждает силу действия законов 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правил  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5B3C06" w:rsidP="001136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3C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25" style="width:0;height:1.5pt" o:hralign="center" o:hrstd="t" o:hrnoshade="t" o:hr="t" fillcolor="#f9f2be" stroked="f"/>
        </w:pict>
      </w:r>
    </w:p>
    <w:p w:rsidR="001136AE" w:rsidRPr="001136AE" w:rsidRDefault="001136AE" w:rsidP="00675FD1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Композиция (от лат. </w:t>
      </w:r>
      <w:proofErr w:type="spellStart"/>
      <w:r w:rsidRPr="00675FD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compositio</w:t>
      </w:r>
      <w:proofErr w:type="spellEnd"/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 означает составление,  соединение сочетание различных частей в единое целое  в  соответствии с какой-либо идеей. В изобразительном искусстве  композиция - это строение художественного произведения, обусловленное его содержанием, характером и назначением.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-1132</wp:posOffset>
            </wp:positionV>
            <wp:extent cx="2109359" cy="1590261"/>
            <wp:effectExtent l="19050" t="0" r="5191" b="0"/>
            <wp:wrapSquare wrapText="bothSides"/>
            <wp:docPr id="5" name="Рисунок 5" descr="В. СУРИКОВ. Боярыня Мороз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. СУРИКОВ. Боярыня Морозова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59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Слово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«композиция»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качестве термина  изобразительного 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14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искусства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регулярно  стало употребляться, начиная с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15" w:tgtFrame="_blank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эпохи Возрождения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19259" cy="1264257"/>
            <wp:effectExtent l="19050" t="0" r="0" b="0"/>
            <wp:docPr id="6" name="Рисунок 6" descr="И. ВИШНЯКОВ. Портрет Ксении Тиш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. ВИШНЯКОВ. Портрет Ксении Тишино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24" cy="126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Восприятие произведения во многом зависит от его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художественной  деятельности  процесс  создания  произведения  можно назвать сочинением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Композиционное начало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подобно  стволу дерева, органически связывает корни и ветви изобразительной  формы, соподчиняет её элементы друг другу и целому. Изображать – значит устанавливать отношения между частями, связывать их в единое целое и  обобщать.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2181</wp:posOffset>
            </wp:positionV>
            <wp:extent cx="2859322" cy="1121134"/>
            <wp:effectExtent l="19050" t="0" r="0" b="0"/>
            <wp:wrapSquare wrapText="bothSides"/>
            <wp:docPr id="7" name="Рисунок 7" descr="П. Рубенс. Снятие с крес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. Рубенс. Снятие с креста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2" cy="11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Порой словом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«композиция»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называют картину как таковую – как органическое целое с выражением смысловым единством, подразумевая в данном случае, что рисунок, цвет и сюжет объединяются. В таком случае  неважно, к какому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18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жанру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относится картина и  в какой манере выполнена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её называют термином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«композиция»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законченное произведение  искусства.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br/>
      </w: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36685" cy="1033118"/>
            <wp:effectExtent l="19050" t="0" r="0" b="0"/>
            <wp:docPr id="8" name="Рисунок 8" descr="Н. Пуссен. Пейзаж с Полифе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. Пуссен. Пейзаж с Полифемом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5" cy="10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другом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случае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термин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«композиция»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означает один из основных  элементов изобразительной грамоты, по которому строится и оценивается произведение искусства.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44637" cy="913040"/>
            <wp:effectExtent l="19050" t="0" r="3313" b="0"/>
            <wp:docPr id="9" name="Рисунок 9" descr="К. Лоррен. Пейзаж с мельни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. Лоррен. Пейзаж с мельнице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25" cy="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136AE" w:rsidRPr="001136AE" w:rsidRDefault="001136AE" w:rsidP="00CE5CE0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-1022</wp:posOffset>
            </wp:positionV>
            <wp:extent cx="1340623" cy="1518700"/>
            <wp:effectExtent l="19050" t="0" r="0" b="0"/>
            <wp:wrapSquare wrapText="bothSides"/>
            <wp:docPr id="10" name="Рисунок 10" descr="А. Рублёв. Троица Ветхозаветная. Замкнутая компози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. Рублёв. Троица Ветхозаветная. Замкнутая композиц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23" cy="151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6AE" w:rsidRPr="001136AE" w:rsidRDefault="001136AE" w:rsidP="001136AE">
      <w:pPr>
        <w:shd w:val="clear" w:color="auto" w:fill="FFFFFF"/>
        <w:spacing w:after="6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Свобода творчества и подлинное мастерство приходят на основе точного знания. Веками художники искали наиболее выразительные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композиционные схемы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результате мы можем говорить о том, что наиболее важные по сюжету элементы изображения размещаются не хаотично, а образуют простые геометрические фигуры (треугольник, пирамиду, круг, овал, квадрат, прямоугольник и т. п.). В  этом можно убедиться, рассмотрев картины: И. Вишнякова «Портрет Ксении Тишининой», Н. Пуссена «Пейзаж с </w:t>
      </w:r>
      <w:proofErr w:type="spell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Полифемом</w:t>
      </w:r>
      <w:proofErr w:type="spell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и «Аркадские пастухи», П.Рубенса «Снятие с креста», К. </w:t>
      </w:r>
      <w:proofErr w:type="spell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Лоррена</w:t>
      </w:r>
      <w:proofErr w:type="spell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«Пейзаж с мельницей»,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2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Леонардо да  Винчи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«Мадонна в гроте».</w:t>
      </w:r>
    </w:p>
    <w:p w:rsidR="001136AE" w:rsidRPr="001136AE" w:rsidRDefault="001136AE" w:rsidP="001136AE">
      <w:pPr>
        <w:shd w:val="clear" w:color="auto" w:fill="FFFFFF"/>
        <w:spacing w:after="6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36685" cy="882479"/>
            <wp:effectExtent l="19050" t="0" r="0" b="0"/>
            <wp:docPr id="11" name="Рисунок 11" descr="Н. Пуссен. Аркадские пастух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. Пуссен. Аркадские пастухи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72" cy="88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3120</wp:posOffset>
            </wp:positionV>
            <wp:extent cx="1300866" cy="1311965"/>
            <wp:effectExtent l="19050" t="0" r="0" b="0"/>
            <wp:wrapSquare wrapText="bothSides"/>
            <wp:docPr id="12" name="Рисунок 12" descr="http://shedevrs.ru/images/stories/uroki/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hedevrs.ru/images/stories/uroki/img05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6" cy="131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передачи 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5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образа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чего-то неподвижного, устойчивого подойдёт  замкнутая, закрытая,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статичная композиция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Основные направления  линий стягиваются к центру. Построение её по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6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форме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круга,  квадрата,  прямоугольника с учётом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7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симметрии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даёт необходимое решение.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 </w:t>
      </w: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7232" cy="1542553"/>
            <wp:effectExtent l="19050" t="0" r="0" b="0"/>
            <wp:docPr id="13" name="Рисунок 13" descr="Леонардо да Винчи. Мадонна в гр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онардо да Винчи. Мадонна в грот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5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вам необходимо нарисовать панорамный пейзаж, показать большой простор, то не следует его перегораживать с боков, ограничивать какими-либо деревьями или зданиями, а лучше сделать уходящим за пределами рамы. Это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тип открытой 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Основные направления линий из центра.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Догадки  расширяют фантазию зрителя. Если далёкий горизонт частично загородить деревьями или  другими  предметами  первого  плана,  то можно достигнуть большой образной выразительности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-166</wp:posOffset>
            </wp:positionV>
            <wp:extent cx="1326956" cy="1327868"/>
            <wp:effectExtent l="19050" t="0" r="6544" b="0"/>
            <wp:wrapSquare wrapText="bothSides"/>
            <wp:docPr id="14" name="Рисунок 14" descr="Схема открытой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 открытой композици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56" cy="132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Когда в эпоху Возрождения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изменилась концепция мира и на смену  замкнутого мира пришёл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мир бесконечный, то и на смену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замкнутым композициям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пришли открытые. В дальнейшем зарубежные и русские  художники разработали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новые 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использовали   традиционные в зависимости от замысла произведения.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69185" cy="2059305"/>
            <wp:effectExtent l="19050" t="0" r="0" b="0"/>
            <wp:docPr id="15" name="Рисунок 15" descr="И. Шишкин. Рожь. Открытая компози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. Шишкин. Рожь. Открытая композици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Конечно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стоит преувеличивать значения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композиционных схем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  Художник, воплощая замысел,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опирается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прежде всего на своё образно-зрительное представление о будущей картине. Но в период обучения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основам 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 полезно использовать такие схемы, так как  они помогают найти соотношения различных частей картины или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1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рисунка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 уяснить общую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структуру 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Эти схемы имеют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вспомогательное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значения. Постепенно, приобретая опыт, можно научиться  строить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композиционные схемы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только мысленно.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36AE" w:rsidRPr="001136AE" w:rsidRDefault="00CE5CE0" w:rsidP="001136AE">
      <w:pPr>
        <w:shd w:val="clear" w:color="auto" w:fill="FFFFFF"/>
        <w:spacing w:after="6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1290955</wp:posOffset>
            </wp:positionV>
            <wp:extent cx="1474470" cy="1089025"/>
            <wp:effectExtent l="19050" t="0" r="0" b="0"/>
            <wp:wrapSquare wrapText="bothSides"/>
            <wp:docPr id="37" name="Рисунок 17" descr="http://shedevrs.ru/images/stories/uroki/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edevrs.ru/images/stories/uroki/img06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6AE"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2899</wp:posOffset>
            </wp:positionV>
            <wp:extent cx="1407104" cy="1200647"/>
            <wp:effectExtent l="19050" t="0" r="2596" b="0"/>
            <wp:wrapSquare wrapText="bothSides"/>
            <wp:docPr id="16" name="Рисунок 16" descr="Веласкес. Сдача Бре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ласкес. Сдача Бреды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04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6AE"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качестве примера  композиционного построения картины рассмотрим  полотно Веласкеса «Сдача Бреды». Это - одна из наиболее ясно читаемых </w:t>
      </w:r>
      <w:r w:rsidR="001136AE"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композиций</w:t>
      </w:r>
      <w:r w:rsidR="001136AE"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благодаря четкому распределению масс, чередованию тёмных и светлых</w:t>
      </w:r>
      <w:r w:rsidR="001136AE"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4" w:history="1">
        <w:r w:rsidR="001136AE"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пятен</w:t>
        </w:r>
      </w:hyperlink>
      <w:r w:rsidR="001136AE"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1136AE"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1136AE"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Сюжетно-композиционный центр</w:t>
      </w:r>
      <w:r w:rsidR="001136AE"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1136AE"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совпадает с центром</w:t>
      </w:r>
      <w:r w:rsidR="001136AE"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5" w:history="1">
        <w:r w:rsidR="001136AE"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холста</w:t>
        </w:r>
      </w:hyperlink>
      <w:r w:rsidR="001136AE"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Две фигуры, расположенные в центре, нарисованные  фоне дали. Голова человека, подающего ключи от крепости,  подчеркивается большим белым воротником, выразительно передан силуэт правой  руки  с  ключом.  Его  полусогнутая  поза  говорит  о  необходимости  сдаться  на  милость  победителя.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-1586865</wp:posOffset>
            </wp:positionH>
            <wp:positionV relativeFrom="paragraph">
              <wp:posOffset>739140</wp:posOffset>
            </wp:positionV>
            <wp:extent cx="1602740" cy="1152525"/>
            <wp:effectExtent l="19050" t="0" r="0" b="0"/>
            <wp:wrapSquare wrapText="bothSides"/>
            <wp:docPr id="18" name="Рисунок 18" descr="Композицион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мпозиционная схем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Фигура человека, принимающего ключи, написана на светлом фоне  пейзаж. Его лицо выглядит светлым пятном на тёмном фоне, оно обрамлено  тёмным волосами и светлым воротником. Везде контрасты и противопоставления.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Шарф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диагонально перевязывающий костюм, и силуэт  лошади справа позволяют подчеркнуть одну из диагоналей картины.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Другую диагональ полотна образуют знамя, положения рук центральных фигур и оружие в левом углу картины.</w:t>
      </w:r>
    </w:p>
    <w:p w:rsidR="001136AE" w:rsidRPr="001136AE" w:rsidRDefault="00CE5CE0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-1642745</wp:posOffset>
            </wp:positionH>
            <wp:positionV relativeFrom="paragraph">
              <wp:posOffset>568960</wp:posOffset>
            </wp:positionV>
            <wp:extent cx="1451610" cy="1303655"/>
            <wp:effectExtent l="19050" t="0" r="0" b="0"/>
            <wp:wrapSquare wrapText="bothSides"/>
            <wp:docPr id="41" name="Рисунок 19" descr="Деталь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таль композици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6AE"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Светлые</w:t>
      </w:r>
      <w:r w:rsidR="001136AE"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8" w:history="1">
        <w:r w:rsidR="001136AE"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пятна</w:t>
        </w:r>
      </w:hyperlink>
      <w:r w:rsidR="001136AE"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1136AE"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кафтана воина на третьем плане и головы лошади рядом с ним создаёт ощущение глубины пространства.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Попытайтесь на минуту прикрыть эти два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пятна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Вы увидите, на сколько обедняется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композиция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как  теряется её глубина, потому что чрезмерно сближаются первый и последний план картины.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Композиционное пространство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состоит из нескольких планов </w:t>
      </w:r>
      <w:r w:rsidR="00CE5CE0"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21811</wp:posOffset>
            </wp:positionH>
            <wp:positionV relativeFrom="paragraph">
              <wp:posOffset>177552</wp:posOffset>
            </wp:positionV>
            <wp:extent cx="1054376" cy="1049572"/>
            <wp:effectExtent l="19050" t="0" r="0" b="0"/>
            <wp:wrapSquare wrapText="bothSides"/>
            <wp:docPr id="44" name="Рисунок 20" descr="Плановость в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лановость в композиции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76" cy="10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40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перспективой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дали.</w:t>
      </w:r>
      <w:r w:rsidR="00CE5CE0" w:rsidRPr="00CE5CE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1136AE" w:rsidRPr="001136AE" w:rsidRDefault="001136AE" w:rsidP="001136AE">
      <w:pPr>
        <w:shd w:val="clear" w:color="auto" w:fill="FFFFFF"/>
        <w:spacing w:after="6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14619" cy="1025719"/>
            <wp:effectExtent l="19050" t="0" r="0" b="0"/>
            <wp:docPr id="21" name="Рисунок 21" descr="Контрасты тёмного и светлого в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нтрасты тёмного и светлого в композиции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87" cy="102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Интересных находок 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много. Можно дальше разбирать каждый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элемент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убедится в том, что художник руководствовался в  передаче характеров принципом цельности в разнообразии.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Введение пик с флажками,  которые создают ритмическое разнообразие, вносят мажорные ноты, является приёмом, делающим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композицию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поразительно живой.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Произведение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42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искусства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 выражению П. Флоренского, есть «</w:t>
      </w:r>
      <w:r w:rsidRPr="00675F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запись некоторого ритма образов, и в самой записи даются ключи к чтению её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Интересно отметить, что этой картине Веласкеса «ключ» к её чтению совпадает действительно с изображением ключа от крепости. Нет сомнений, что этот ключ является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центром 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находящимся в центре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43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холста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 специально выделен тёмным силуэтом в светлом многоугольнике.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Веласкес использовал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приёмы, правила и средства 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передать содержание картины наилучшим образом.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44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истории искусств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большую роль играли как процессы выполнения общепринятых канонов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(античность, Возрождение, барокко,  классицизм и др.), так и стремление избавиться от жестких канонических схем использовать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свободные композиционные приёмы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XIX-XX в.в.).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Композиция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отвечающая индивидуальным творческим поискам художников, способна вызвать разнообразные ассоциации, чувства и эмоции.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663</wp:posOffset>
            </wp:positionV>
            <wp:extent cx="1004128" cy="1327867"/>
            <wp:effectExtent l="19050" t="0" r="5522" b="0"/>
            <wp:wrapSquare wrapText="bothSides"/>
            <wp:docPr id="24" name="Рисунок 24" descr="Новгородская школа XV века. Битва суздальцев с новгородцами. Дерево, темпе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городская школа XV века. Битва суздальцев с новгородцами. Дерево, темпера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28" cy="13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подвластно многое. С помощью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композиционных средств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передать на картине события, имеющие протяженность во времени, то есть происходящие не одновременно, а одно за другим. Этими приёмами хорошо владели древнерусские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46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иконописцы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Например, мастера новгородской школы XV века, чтобы рассказать о битве </w:t>
      </w:r>
      <w:proofErr w:type="spell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суздальцев</w:t>
      </w:r>
      <w:proofErr w:type="spell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новгородцами, использовали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трёхъярусную фризовую композицию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есть как бы три отдельные картины,  показывающие каждая определённый эпизод, они расположены одна над другой, но вместе с тем составляют единое целое.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Ещё один распространённый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приём построения 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передачи событий, происходящих в разное время и в разных местах, - объединение в одно целое нескольких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47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сюжетов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-3423</wp:posOffset>
            </wp:positionV>
            <wp:extent cx="3086100" cy="1391478"/>
            <wp:effectExtent l="19050" t="0" r="0" b="0"/>
            <wp:wrapSquare wrapText="bothSides"/>
            <wp:docPr id="25" name="Рисунок 25" descr="А. Котухин. Ларец. Сказка о рыбаке и рыбке. Пал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. Котухин. Ларец. Сказка о рыбаке и рыбке. Палех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правило, это крупное по размеру изображения в центре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49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холста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небольшие рисунки вокруг него. Примеры такого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построения 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встретить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0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иконописи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народном искусстве, книжной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1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графике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других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2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видах искусств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Композиционные приёмы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полной мере зависят от видов искусства. Наряду с общими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закономерностями 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каждый вид искусства имеет свою специфику и даже одно и то же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композиционное средство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может использоваться по-разному.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3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живописном произведении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должна казаться естественной и органичной, не навязывать зрителю идею картины, а как бы незаметно подводить его к ней с тем, чтобы он проникся её содержанием и замыслом художника.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-1104</wp:posOffset>
            </wp:positionV>
            <wp:extent cx="1491698" cy="1407381"/>
            <wp:effectExtent l="19050" t="0" r="0" b="0"/>
            <wp:wrapSquare wrapText="bothSides"/>
            <wp:docPr id="26" name="Рисунок 26" descr="Гжель. Объёмный сос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жель. Объёмный сосуд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14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5" w:tgtFrame="_parent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живописи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6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композиция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помогает передать иллюзию пространства, его глубину, то в народном 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7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декоративно-прикладном искусстве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художник композиционными приёмами, наоборот, стремится подчеркнуть объём или плоскость украшаемого объекта.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декоративной 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 может быть выражена способами, принципиально отличающими её от композиции картины. Изображение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8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пейзажа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может разворачиваться не в глубину, а вверх, в таком случае дальние планы помещают над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ближними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как в древнерусской иконе.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9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иконописи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народном искусстве привлекают ясность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0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образа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необыкновенная цельность, плавность и текучесть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1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линий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-1077</wp:posOffset>
            </wp:positionV>
            <wp:extent cx="949739" cy="1335819"/>
            <wp:effectExtent l="19050" t="0" r="2761" b="0"/>
            <wp:wrapSquare wrapText="bothSides"/>
            <wp:docPr id="27" name="Рисунок 27" descr="Хохлома. Ваза с орнаментом хохломской тра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Хохлома. Ваза с орнаментом хохломской травки.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39" cy="13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Следует обратить внимание на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композиционные приёмы народного орнамента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изделиях исконно русских промыслов.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Пластически-ритмический принцип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является основой гармонии в изделиях Хохломы, Городца, Павловского Посада и других традиционных центров.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Тематическую декоративную композицию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сравнить не только с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3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орнаментом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где есть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4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мотив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но и с узором, свободно заполняющим плоскость.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всём своеобразии декоративного изображения оно совершенно не исключает последовательности, не лишено возможности вести сюжетный занимательный рассказ, даже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5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иллюстрации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книге могут быть выполнены декоративно.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Декоративная тематическая композиция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особый художественный мир со своим условным порядком, а иногда и конкретными, легко узнаваемыми персонажами, которые соотносятся друг с другом совсем не так, как в реальной действительности.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Основная отличительная особенность декоративного изображения от реалистического состоит в том, что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6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цвет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предмета может быть дан без учёта света и тени, возможен даже полный отказ от реального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7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цвета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Важно, чтобы с его помощью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8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цвета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создавался художественный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69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образ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Свойство декоративной 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декоративное преображение любой натуры, выделение нарядности, красочности,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0" w:tgtFrame="_blank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орнаментальности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окружающего мира, соблюдение определённой  меры условности изображения. Умелое обобщение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1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формы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нисколько не вредит выразительности. Отказ от второстепенных  подробностей делает более заметным главное. К положительным результатам ведёт не только строгий отбор главного,  но и некоторая недосказанность, ассоциативность  эмоционально-образного решения тем.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-1850</wp:posOffset>
            </wp:positionV>
            <wp:extent cx="1078561" cy="1176793"/>
            <wp:effectExtent l="19050" t="0" r="7289" b="0"/>
            <wp:wrapSquare wrapText="bothSides"/>
            <wp:docPr id="30" name="Рисунок 30" descr="Женская праздничная одежда. Тверская губерния. Первая половина XIX 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Женская праздничная одежда. Тверская губерния. Первая половина XIX в.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61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Композиция ансамбля русского народного костюма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строится по-разному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традиционных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женских нарядов Севера и Юга России.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русской деревне вышивками, аппликациями, бисером и речным жемчугом любили украшать праздничную одежду. Женский костюм  русского Севера часто называют «сарафанным комплексом», так как основные его части - рубаха и сарафан. Рукава, плечи и ворот,  не закрытые сарафаном, обычно расшивали красными нитками. Часто украшали и подол. На Руси никогда не ходили без пояса, так как считалось, что он оберегает от бед.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Завершает ансамбль русского костюма головной убор. У девушек это может быть только перевязка, оставляющая верх головы не закрытым, а замужняя женщина не показывалась на людях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простоволосой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Северянки, например, носили кокошники,  расшитые золотой  нитью и речным жемчугом. Они по своей форме могли напоминать распушившуюся курочку, полумесяц, царский венец или иметь иную форму. Южанки предпочитали рогатую кичку, состоящую из  многих деталей.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Костюм южных губерний заметно отличался от костюмов северных. Он представлял собой так называемый «</w:t>
      </w:r>
      <w:proofErr w:type="spell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поневный</w:t>
      </w:r>
      <w:proofErr w:type="spell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комплекс». Основу его составляет понева, которую укрепляют на талии, причём полы её не сходятся, и в просвете видна рубаха. Позднее прореху стали закрывать полотнищем другой материи - прошвой.  Для этих костюмов характерна особая узорность, яркость и декоративность.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Самая незамысловатая часть костюма - обувь тоже делалась с выдумкой, но в народном искусстве красота и назначение никогда не расходились. Крестьяне носили лёгкие и удобные для работы в поле лапти, а в праздники надевали обувь кожаную - сапоги, полусапожки, башмаки, коты.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каждый раз ставит перед художником сложные вопросы, ответы на которые должны быть точными, оригинальными, неповторимыми.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важно всё - масса предметов, их зрительный «вес», размещение их на плоскости, выразительность силуэтов, ритмические чередования линий и пятен, способы передачи пространства и точка зрения на изображаемое, 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распределение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3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светотени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4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цвет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5" w:tgtFrame="_blank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колорит 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картины, позы и жесты героев, формат и размер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многое другое.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Художники используют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композицию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универсальное средство, чтобы создать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6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живописное полотно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7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скульптуру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или произведение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8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декоративно-прикладного искусства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добиться их образной и эмоциональной выразительности.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 – не только мысль, идея произведения, ради выражения которой художник берётся за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79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кисть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 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80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карандаш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это определённо созвучная душа художника и требованиям времени пластическая форма выражения.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Построение картины можно рассчитать заранее. Постоянные 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упражнения в композиционном искусстве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развивают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композиционные навыки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можно научиться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приёмам построения 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3396</wp:posOffset>
            </wp:positionV>
            <wp:extent cx="2342487" cy="2687541"/>
            <wp:effectExtent l="19050" t="0" r="663" b="0"/>
            <wp:wrapSquare wrapText="bothSides"/>
            <wp:docPr id="34" name="Рисунок 34" descr="Примеры композиционного размещения объектов на ли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имеры композиционного размещения объектов на листе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87" cy="268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чего же начинается работа над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композицией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 Даже если попробовать разместить на листе всего одну точку, то уже встаёт проблема, как её расположить наилучшим образом. Впечатление меняется в зависимости от перемещения точки на плоскости.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Вместо точки может быть любой объект, например один человек или даже толпа народа, если взглянуть на неё с большой высоты.</w:t>
      </w:r>
    </w:p>
    <w:p w:rsidR="001136AE" w:rsidRPr="001136AE" w:rsidRDefault="001136AE" w:rsidP="001136AE">
      <w:pPr>
        <w:shd w:val="clear" w:color="auto" w:fill="FFFFFF"/>
        <w:spacing w:after="6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Новые проблемы в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появляются, когда к точке добавляется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82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линия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gramStart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которая</w:t>
      </w:r>
      <w:proofErr w:type="gramEnd"/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сущности состоит из многих точек. Попробуйте представить цепочку из большого количества людей и взглянуть с высоты. Вы увидите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83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линию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Точка и несколько линий дают множество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вариантов 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5FD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13630" cy="1964055"/>
            <wp:effectExtent l="19050" t="0" r="1270" b="0"/>
            <wp:docPr id="35" name="Рисунок 35" descr="Варианты построения композиции на основе точки и нескольких ли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арианты построения композиции на основе точки и нескольких линий.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представить, что на первом рисунке изображён человек на берегу моря. На следующем рисунке может быть нарисован альпинист, поднимающейся в гору. Третья картина может показать охотников на берегу реки. А четвёртая -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85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пейзаж</w:t>
        </w:r>
      </w:hyperlink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6AE" w:rsidRPr="001136AE" w:rsidRDefault="001136AE" w:rsidP="001136AE">
      <w:pPr>
        <w:shd w:val="clear" w:color="auto" w:fill="FFFFFF"/>
        <w:spacing w:after="63" w:line="2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Каждый может увидеть в этих схемах свои картины.  Из точек,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линий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86" w:history="1">
        <w:r w:rsidRPr="00675F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пятен</w:t>
        </w:r>
      </w:hyperlink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составить бесконечное количество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композиций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 Но для того, чтобы подняться  к вершинам  мастерства, освоить</w:t>
      </w:r>
      <w:r w:rsidRPr="00675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75F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секреты композиции</w:t>
      </w:r>
      <w:r w:rsidRPr="001136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необходимо познакомиться с её правилами, приёмами и средствами.</w:t>
      </w:r>
    </w:p>
    <w:p w:rsidR="00895182" w:rsidRPr="00675FD1" w:rsidRDefault="0089518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95182" w:rsidRPr="00675FD1" w:rsidSect="001136AE">
      <w:pgSz w:w="11906" w:h="16838"/>
      <w:pgMar w:top="426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136AE"/>
    <w:rsid w:val="00013EB0"/>
    <w:rsid w:val="001136AE"/>
    <w:rsid w:val="002025F7"/>
    <w:rsid w:val="0031628B"/>
    <w:rsid w:val="003835F2"/>
    <w:rsid w:val="005B3C06"/>
    <w:rsid w:val="00675FD1"/>
    <w:rsid w:val="00772339"/>
    <w:rsid w:val="00895182"/>
    <w:rsid w:val="00B13A05"/>
    <w:rsid w:val="00C06802"/>
    <w:rsid w:val="00CE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36AE"/>
    <w:rPr>
      <w:b/>
      <w:bCs/>
    </w:rPr>
  </w:style>
  <w:style w:type="character" w:styleId="a5">
    <w:name w:val="Hyperlink"/>
    <w:basedOn w:val="a0"/>
    <w:uiPriority w:val="99"/>
    <w:semiHidden/>
    <w:unhideWhenUsed/>
    <w:rsid w:val="001136AE"/>
    <w:rPr>
      <w:color w:val="0000FF"/>
      <w:u w:val="single"/>
    </w:rPr>
  </w:style>
  <w:style w:type="character" w:customStyle="1" w:styleId="apple-converted-space">
    <w:name w:val="apple-converted-space"/>
    <w:basedOn w:val="a0"/>
    <w:rsid w:val="001136AE"/>
  </w:style>
  <w:style w:type="character" w:styleId="a6">
    <w:name w:val="Emphasis"/>
    <w:basedOn w:val="a0"/>
    <w:uiPriority w:val="20"/>
    <w:qFormat/>
    <w:rsid w:val="001136A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1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3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4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shedevrs.ru/materiali/273-ganr.html" TargetMode="External"/><Relationship Id="rId26" Type="http://schemas.openxmlformats.org/officeDocument/2006/relationships/hyperlink" Target="http://shedevrs.ru/materiali/315-forma.html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8.jpeg"/><Relationship Id="rId34" Type="http://schemas.openxmlformats.org/officeDocument/2006/relationships/hyperlink" Target="http://shedevrs.ru/materiali/266-pyatno.html" TargetMode="External"/><Relationship Id="rId42" Type="http://schemas.openxmlformats.org/officeDocument/2006/relationships/hyperlink" Target="http://shedevrs.ru/materiali/322-iskusstvo.html" TargetMode="External"/><Relationship Id="rId47" Type="http://schemas.openxmlformats.org/officeDocument/2006/relationships/hyperlink" Target="http://shedevrs.ru/materiali/405-suget.html" TargetMode="External"/><Relationship Id="rId50" Type="http://schemas.openxmlformats.org/officeDocument/2006/relationships/hyperlink" Target="http://shedevrs.ru/materiali/232-ikonopis.html" TargetMode="External"/><Relationship Id="rId55" Type="http://schemas.openxmlformats.org/officeDocument/2006/relationships/hyperlink" Target="http://shedevrs.ru/materiali/208-givopis.html" TargetMode="External"/><Relationship Id="rId63" Type="http://schemas.openxmlformats.org/officeDocument/2006/relationships/hyperlink" Target="http://shedevrs.ru/materiali/369-ornament.html" TargetMode="External"/><Relationship Id="rId68" Type="http://schemas.openxmlformats.org/officeDocument/2006/relationships/hyperlink" Target="http://shedevrs.ru/materiali/215-cvet.html" TargetMode="External"/><Relationship Id="rId76" Type="http://schemas.openxmlformats.org/officeDocument/2006/relationships/hyperlink" Target="http://shedevrs.ru/materiali/208-givopis.html" TargetMode="External"/><Relationship Id="rId84" Type="http://schemas.openxmlformats.org/officeDocument/2006/relationships/image" Target="media/image26.jpeg"/><Relationship Id="rId7" Type="http://schemas.openxmlformats.org/officeDocument/2006/relationships/hyperlink" Target="http://shedevrs.ru/metr/714-surikov.html" TargetMode="External"/><Relationship Id="rId71" Type="http://schemas.openxmlformats.org/officeDocument/2006/relationships/hyperlink" Target="http://shedevrs.ru/materiali/315-forma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image" Target="media/image12.jpeg"/><Relationship Id="rId11" Type="http://schemas.openxmlformats.org/officeDocument/2006/relationships/hyperlink" Target="http://shedevrs.ru/materiali/208-givopis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://shedevrs.ru/materiali/254-perspektiva.html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://shedevrs.ru/materiali/208-givopis.html" TargetMode="External"/><Relationship Id="rId58" Type="http://schemas.openxmlformats.org/officeDocument/2006/relationships/hyperlink" Target="http://shedevrs.ru/materiali/229-peizag2.html" TargetMode="External"/><Relationship Id="rId66" Type="http://schemas.openxmlformats.org/officeDocument/2006/relationships/hyperlink" Target="http://shedevrs.ru/materiali/215-cvet.html" TargetMode="External"/><Relationship Id="rId74" Type="http://schemas.openxmlformats.org/officeDocument/2006/relationships/hyperlink" Target="http://shedevrs.ru/materiali/215-cvet.html" TargetMode="External"/><Relationship Id="rId79" Type="http://schemas.openxmlformats.org/officeDocument/2006/relationships/hyperlink" Target="http://shedevrs.ru/materiali/170-kist.html" TargetMode="External"/><Relationship Id="rId87" Type="http://schemas.openxmlformats.org/officeDocument/2006/relationships/fontTable" Target="fontTable.xml"/><Relationship Id="rId5" Type="http://schemas.openxmlformats.org/officeDocument/2006/relationships/hyperlink" Target="http://shedevrs.ru/materiali/310-kompoziciya.html" TargetMode="External"/><Relationship Id="rId61" Type="http://schemas.openxmlformats.org/officeDocument/2006/relationships/hyperlink" Target="http://shedevrs.ru/materiali/265-liniya.html" TargetMode="External"/><Relationship Id="rId82" Type="http://schemas.openxmlformats.org/officeDocument/2006/relationships/hyperlink" Target="http://shedevrs.ru/materiali/265-liniya.html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shedevrs.ru/materiali/266-pyatno.html" TargetMode="External"/><Relationship Id="rId14" Type="http://schemas.openxmlformats.org/officeDocument/2006/relationships/hyperlink" Target="http://shedevrs.ru/materiali/322-iskusstvo.html" TargetMode="External"/><Relationship Id="rId22" Type="http://schemas.openxmlformats.org/officeDocument/2006/relationships/hyperlink" Target="http://shedevrs.ru/metr/372-leonardo-da-vinchi.html" TargetMode="External"/><Relationship Id="rId27" Type="http://schemas.openxmlformats.org/officeDocument/2006/relationships/hyperlink" Target="http://shedevrs.ru/materiali/249-cimmetriya.html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hedevrs.ru/materiali/202-holst.html" TargetMode="External"/><Relationship Id="rId43" Type="http://schemas.openxmlformats.org/officeDocument/2006/relationships/hyperlink" Target="http://shedevrs.ru/materiali/202-holst.html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://shedevrs.ru/materiali/310-kompoziciya.html" TargetMode="External"/><Relationship Id="rId64" Type="http://schemas.openxmlformats.org/officeDocument/2006/relationships/hyperlink" Target="http://shedevrs.ru/materiali/424-motiv.html" TargetMode="External"/><Relationship Id="rId69" Type="http://schemas.openxmlformats.org/officeDocument/2006/relationships/hyperlink" Target="http://shedevrs.ru/materiali/324-obraz.html" TargetMode="External"/><Relationship Id="rId77" Type="http://schemas.openxmlformats.org/officeDocument/2006/relationships/hyperlink" Target="http://shedevrs.ru/materiali/262-skulptura.html" TargetMode="External"/><Relationship Id="rId8" Type="http://schemas.openxmlformats.org/officeDocument/2006/relationships/hyperlink" Target="http://shedevrs.ru/materiali/202-holst.html" TargetMode="External"/><Relationship Id="rId51" Type="http://schemas.openxmlformats.org/officeDocument/2006/relationships/hyperlink" Target="http://shedevrs.ru/materiali/206-grafika.html" TargetMode="External"/><Relationship Id="rId72" Type="http://schemas.openxmlformats.org/officeDocument/2006/relationships/image" Target="media/image24.jpeg"/><Relationship Id="rId80" Type="http://schemas.openxmlformats.org/officeDocument/2006/relationships/hyperlink" Target="http://shedevrs.ru/materiali/135-karandashi.html" TargetMode="External"/><Relationship Id="rId85" Type="http://schemas.openxmlformats.org/officeDocument/2006/relationships/hyperlink" Target="http://shedevrs.ru/materiali/229-peizag2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shedevrs.ru/materiali/457-manera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shedevrs.ru/materiali/324-obraz.html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shedevrs.ru/materiali/266-pyatno.html" TargetMode="External"/><Relationship Id="rId46" Type="http://schemas.openxmlformats.org/officeDocument/2006/relationships/hyperlink" Target="http://shedevrs.ru/materiali/232-ikonopis.html" TargetMode="External"/><Relationship Id="rId59" Type="http://schemas.openxmlformats.org/officeDocument/2006/relationships/hyperlink" Target="http://shedevrs.ru/materiali/232-ikonopis.html" TargetMode="External"/><Relationship Id="rId67" Type="http://schemas.openxmlformats.org/officeDocument/2006/relationships/hyperlink" Target="http://shedevrs.ru/materiali/215-cvet.html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22.jpeg"/><Relationship Id="rId62" Type="http://schemas.openxmlformats.org/officeDocument/2006/relationships/image" Target="media/image23.jpeg"/><Relationship Id="rId70" Type="http://schemas.openxmlformats.org/officeDocument/2006/relationships/hyperlink" Target="http://shedevrs.ru/ornament.html" TargetMode="External"/><Relationship Id="rId75" Type="http://schemas.openxmlformats.org/officeDocument/2006/relationships/hyperlink" Target="http://shedevrs.ru/cvetovedenie/513-kolorit.html" TargetMode="External"/><Relationship Id="rId83" Type="http://schemas.openxmlformats.org/officeDocument/2006/relationships/hyperlink" Target="http://shedevrs.ru/materiali/265-liniya.html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hedevrs.ru/metr/718-piter-breigel.html" TargetMode="External"/><Relationship Id="rId15" Type="http://schemas.openxmlformats.org/officeDocument/2006/relationships/hyperlink" Target="http://shedevrs.ru/istoriya-iskusstv/460-italianskoe-vozrogdenie.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49" Type="http://schemas.openxmlformats.org/officeDocument/2006/relationships/hyperlink" Target="http://shedevrs.ru/materiali/202-holst.html" TargetMode="External"/><Relationship Id="rId57" Type="http://schemas.openxmlformats.org/officeDocument/2006/relationships/hyperlink" Target="http://shedevrs.ru/materiali/257-dpi.htm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shedevrs.ru/materiali/239-risunok.html" TargetMode="External"/><Relationship Id="rId44" Type="http://schemas.openxmlformats.org/officeDocument/2006/relationships/hyperlink" Target="http://shedevrs.ru/o-iskusstve.html" TargetMode="External"/><Relationship Id="rId52" Type="http://schemas.openxmlformats.org/officeDocument/2006/relationships/hyperlink" Target="http://shedevrs.ru/materiali/322-iskusstvo.html" TargetMode="External"/><Relationship Id="rId60" Type="http://schemas.openxmlformats.org/officeDocument/2006/relationships/hyperlink" Target="http://shedevrs.ru/materiali/324-obraz.html" TargetMode="External"/><Relationship Id="rId65" Type="http://schemas.openxmlformats.org/officeDocument/2006/relationships/hyperlink" Target="http://shedevrs.ru/materiali/235-illustracii2.html" TargetMode="External"/><Relationship Id="rId73" Type="http://schemas.openxmlformats.org/officeDocument/2006/relationships/hyperlink" Target="http://shedevrs.ru/materiali/270-svetoten.html" TargetMode="External"/><Relationship Id="rId78" Type="http://schemas.openxmlformats.org/officeDocument/2006/relationships/hyperlink" Target="http://shedevrs.ru/materiali/257-dpi.html" TargetMode="External"/><Relationship Id="rId81" Type="http://schemas.openxmlformats.org/officeDocument/2006/relationships/image" Target="media/image25.jpeg"/><Relationship Id="rId86" Type="http://schemas.openxmlformats.org/officeDocument/2006/relationships/hyperlink" Target="http://shedevrs.ru/materiali/266-pyatn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2702</Words>
  <Characters>15402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Uzver</dc:creator>
  <cp:lastModifiedBy>Uzer</cp:lastModifiedBy>
  <cp:revision>2</cp:revision>
  <cp:lastPrinted>2017-03-01T12:38:00Z</cp:lastPrinted>
  <dcterms:created xsi:type="dcterms:W3CDTF">2021-01-14T06:15:00Z</dcterms:created>
  <dcterms:modified xsi:type="dcterms:W3CDTF">2021-01-14T06:15:00Z</dcterms:modified>
</cp:coreProperties>
</file>