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67" w:rsidRPr="00A62567" w:rsidRDefault="00A62567" w:rsidP="00A6256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hAnsi="Times New Roman" w:cs="Times New Roman"/>
          <w:sz w:val="28"/>
          <w:szCs w:val="28"/>
          <w:lang w:eastAsia="ru-RU"/>
        </w:rPr>
        <w:t xml:space="preserve">Автор </w:t>
      </w:r>
    </w:p>
    <w:p w:rsidR="00A62567" w:rsidRPr="00A62567" w:rsidRDefault="00A62567" w:rsidP="00A6256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62567">
        <w:rPr>
          <w:rFonts w:ascii="Times New Roman" w:hAnsi="Times New Roman" w:cs="Times New Roman"/>
          <w:sz w:val="28"/>
          <w:szCs w:val="28"/>
          <w:lang w:eastAsia="ru-RU"/>
        </w:rPr>
        <w:t>Овинкина</w:t>
      </w:r>
      <w:proofErr w:type="spellEnd"/>
      <w:r w:rsidRPr="00A62567">
        <w:rPr>
          <w:rFonts w:ascii="Times New Roman" w:hAnsi="Times New Roman" w:cs="Times New Roman"/>
          <w:sz w:val="28"/>
          <w:szCs w:val="28"/>
          <w:lang w:eastAsia="ru-RU"/>
        </w:rPr>
        <w:t xml:space="preserve"> Ирина Ивановна</w:t>
      </w:r>
    </w:p>
    <w:p w:rsidR="00A62567" w:rsidRPr="00A62567" w:rsidRDefault="00A62567" w:rsidP="00A6256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hAnsi="Times New Roman" w:cs="Times New Roman"/>
          <w:sz w:val="28"/>
          <w:szCs w:val="28"/>
          <w:lang w:eastAsia="ru-RU"/>
        </w:rPr>
        <w:t>Учитель физической культуры</w:t>
      </w:r>
    </w:p>
    <w:p w:rsidR="00A62567" w:rsidRPr="00A62567" w:rsidRDefault="00A62567" w:rsidP="00A6256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hAnsi="Times New Roman" w:cs="Times New Roman"/>
          <w:sz w:val="28"/>
          <w:szCs w:val="28"/>
          <w:lang w:eastAsia="ru-RU"/>
        </w:rPr>
        <w:t>МОУ «СОШ № 55» г. Магнитогорска</w:t>
      </w:r>
    </w:p>
    <w:p w:rsidR="00A62567" w:rsidRPr="00A62567" w:rsidRDefault="00A62567" w:rsidP="00A62567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</w:t>
      </w:r>
      <w:bookmarkStart w:id="0" w:name="_GoBack"/>
      <w:bookmarkEnd w:id="0"/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внедрения ВФСК «Готов к труду и обороне» (ГТО) в общеобразовательной школе в контексте реализации ФГОС (на примере школы № 55 г. Магнитогорска)</w:t>
      </w:r>
    </w:p>
    <w:p w:rsidR="00A62567" w:rsidRPr="00A62567" w:rsidRDefault="00A62567" w:rsidP="00A625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физкультурно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спортивный комплекс «Готов к труду и обороне» (ГТО) — важнейший инструмент государственной политики в сфере физической культуры и спорта. Его интеграция в образовательный процесс общеобразовательных учреждений напрямую соотносится с целями Федерального государственного образовательного стандарта (ФГОС), ориентированного на всестороннее развитие личности, укрепление здоровья и формирование культуры здорового образа жизни.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статье рассматривается опыт внедрения ГТО в школе № 55 г. Магнитогорска, выявляются ключевые особенности реализации комплекса и его значимость для образовательного процесса.</w:t>
      </w:r>
    </w:p>
    <w:p w:rsidR="00A62567" w:rsidRPr="00A62567" w:rsidRDefault="00A62567" w:rsidP="00A625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</w:t>
      </w: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правовая база и целеполагание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ГТО в школе опирается на следующие нормативные документы:</w:t>
      </w:r>
    </w:p>
    <w:p w:rsidR="00A62567" w:rsidRPr="00A62567" w:rsidRDefault="00A62567" w:rsidP="00A625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 от 24.03.2014 № 172 «О Всероссийском физкультурно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спортивном комплексе „Готов к труду и обороне“ (ГТО)»;</w:t>
      </w:r>
    </w:p>
    <w:p w:rsidR="00A62567" w:rsidRPr="00A62567" w:rsidRDefault="00A62567" w:rsidP="00A625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22.02.2023 № 117 «Об утверждении государственных требований ВФСК ГТО»;</w:t>
      </w:r>
    </w:p>
    <w:p w:rsidR="00A62567" w:rsidRPr="00A62567" w:rsidRDefault="00A62567" w:rsidP="00A625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общего образования (все уровни);</w:t>
      </w:r>
    </w:p>
    <w:p w:rsidR="00A62567" w:rsidRPr="00A62567" w:rsidRDefault="00A62567" w:rsidP="00A6256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образовательной организации.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внедрения ГТО в школе:</w:t>
      </w:r>
    </w:p>
    <w:p w:rsidR="00A62567" w:rsidRPr="00A62567" w:rsidRDefault="00A62567" w:rsidP="00A625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физического здоровья обучающихся;</w:t>
      </w:r>
    </w:p>
    <w:p w:rsidR="00A62567" w:rsidRPr="00A62567" w:rsidRDefault="00A62567" w:rsidP="00A625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устойчивой мотивации к занятиям физической культурой и спортом;</w:t>
      </w:r>
    </w:p>
    <w:p w:rsidR="00A62567" w:rsidRPr="00A62567" w:rsidRDefault="00A62567" w:rsidP="00A625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физической подготовленности школьников;</w:t>
      </w:r>
    </w:p>
    <w:p w:rsidR="00A62567" w:rsidRPr="00A62567" w:rsidRDefault="00A62567" w:rsidP="00A625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 и социальной активности;</w:t>
      </w:r>
    </w:p>
    <w:p w:rsidR="00A62567" w:rsidRPr="00A62567" w:rsidRDefault="00A62567" w:rsidP="00A6256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урочной и внеурочной деятельности по физическому воспитанию.</w:t>
      </w:r>
    </w:p>
    <w:p w:rsidR="00A62567" w:rsidRPr="00A62567" w:rsidRDefault="00A62567" w:rsidP="00A625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Организационные аспекты внедрения в школе № 55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№ 55 г. Магнитогорска внедрён комплексный подход к реализации ГТО, включающий следующие этапы:</w:t>
      </w:r>
    </w:p>
    <w:p w:rsidR="00A62567" w:rsidRPr="00A62567" w:rsidRDefault="00A62567" w:rsidP="00A6256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рабочей группы по внедрению ГТО;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мероприятий;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 образовательного процесса (родители, учащиеся, педагоги);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входного тестирования физической подготовленности.</w:t>
      </w:r>
    </w:p>
    <w:p w:rsidR="00A62567" w:rsidRPr="00A62567" w:rsidRDefault="00A62567" w:rsidP="00A6256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этап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учащихся на портале ГТО;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групп по возрастным ступеням (</w:t>
      </w:r>
      <w:r w:rsidRPr="00A62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2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VI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ступени для школьников);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графика тестирования с муниципальным центром тестирования ГТО;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материально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технической базы.</w:t>
      </w:r>
    </w:p>
    <w:p w:rsidR="00A62567" w:rsidRPr="00A62567" w:rsidRDefault="00A62567" w:rsidP="00A6256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этап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элементов подготовки к нормативам ГТО в уроки физкультуры;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внеурочных секций и кружков по видам испытаний;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школьных фестивалей и дней ГТО;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динамики физической подготовленности.</w:t>
      </w:r>
    </w:p>
    <w:p w:rsidR="00A62567" w:rsidRPr="00A62567" w:rsidRDefault="00A62567" w:rsidP="00A6256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этап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тестирования;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знаков отличия;</w:t>
      </w:r>
    </w:p>
    <w:p w:rsidR="00A62567" w:rsidRPr="00A62567" w:rsidRDefault="00A62567" w:rsidP="00A62567">
      <w:pPr>
        <w:numPr>
          <w:ilvl w:val="1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программы и корректировка плана.</w:t>
      </w:r>
    </w:p>
    <w:p w:rsidR="00A62567" w:rsidRPr="00A62567" w:rsidRDefault="00A62567" w:rsidP="00A625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ГТО в образовательный процесс в рамках ФГОС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ГТО в школе № 55 осуществляется с учётом требований ФГОС, что проявляется в следующих аспектах:</w:t>
      </w:r>
    </w:p>
    <w:p w:rsidR="00A62567" w:rsidRPr="00A62567" w:rsidRDefault="00A62567" w:rsidP="00A6256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связи.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к испытаниям ГТО развивает регулятивные УУД (самоконтроль, планирование), познавательные (анализ техники выполнения упражнений) и коммуникативные (работа в команде) навыки.</w:t>
      </w:r>
    </w:p>
    <w:p w:rsidR="00A62567" w:rsidRPr="00A62567" w:rsidRDefault="00A62567" w:rsidP="00A6256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Формируются ценностные установки на здоровый образ жизни, ответственность за своё здоровье, целеустремлённость.</w:t>
      </w:r>
    </w:p>
    <w:p w:rsidR="00A62567" w:rsidRPr="00A62567" w:rsidRDefault="00A62567" w:rsidP="00A6256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Углубление знаний по разделу «Физическое совершенствование» ФГОС по физической культуре:</w:t>
      </w:r>
    </w:p>
    <w:p w:rsidR="00A62567" w:rsidRPr="00A62567" w:rsidRDefault="00A62567" w:rsidP="00A6256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техник выполнения нормативов (бег, прыжки, подтягивания, пресс и др.);</w:t>
      </w:r>
    </w:p>
    <w:p w:rsidR="00A62567" w:rsidRPr="00A62567" w:rsidRDefault="00A62567" w:rsidP="00A6256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физической подготовки;</w:t>
      </w:r>
    </w:p>
    <w:p w:rsidR="00A62567" w:rsidRPr="00A62567" w:rsidRDefault="00A62567" w:rsidP="00A6256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опыта участия в соревнованиях.</w:t>
      </w:r>
    </w:p>
    <w:p w:rsidR="00A62567" w:rsidRPr="00A62567" w:rsidRDefault="00A62567" w:rsidP="00A6256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Внеурочная деятельность.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Реализация программ спортивно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оздоровительного направления, тематических мероприятий, волонтёрской деятельности.</w:t>
      </w:r>
    </w:p>
    <w:p w:rsidR="00A62567" w:rsidRPr="00A62567" w:rsidRDefault="00A62567" w:rsidP="00A625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реализации в школе № 55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школы № 55 демонстрирует ряд специфических подходов:</w:t>
      </w:r>
    </w:p>
    <w:p w:rsidR="00A62567" w:rsidRPr="00A62567" w:rsidRDefault="00A62567" w:rsidP="00A6256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Дифференцированный подход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индивидуальных особенностей здоровья (группы ЛФК);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адаптация нормативов для детей с ОВЗ;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траектории подготовки.</w:t>
      </w:r>
    </w:p>
    <w:p w:rsidR="00A62567" w:rsidRPr="00A62567" w:rsidRDefault="00A62567" w:rsidP="00A6256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Партнёрство с сообществом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городским центром тестирования ГТО;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в мероприятиях;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ДЮСШ и спортивными клубами города.</w:t>
      </w:r>
    </w:p>
    <w:p w:rsidR="00A62567" w:rsidRPr="00A62567" w:rsidRDefault="00A62567" w:rsidP="00A6256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Мотивационные механизмы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поощрений (грамоты, памятные призы);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признание достижений (доска почёта, сайт школы);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знаков ГТО при формировании портфолио учащегося.</w:t>
      </w:r>
    </w:p>
    <w:p w:rsidR="00A62567" w:rsidRPr="00A62567" w:rsidRDefault="00A62567" w:rsidP="00A6256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сопровождение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рубрики в школьной газете;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классные часы;</w:t>
      </w:r>
    </w:p>
    <w:p w:rsidR="00A62567" w:rsidRPr="00A62567" w:rsidRDefault="00A62567" w:rsidP="00A62567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трансляции мероприятий.</w:t>
      </w:r>
    </w:p>
    <w:p w:rsidR="00A62567" w:rsidRPr="00A62567" w:rsidRDefault="00A62567" w:rsidP="00A625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 значимость внедрения ГТО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реализации программы в школе № 55 отмечены следующие позитивные изменения:</w:t>
      </w:r>
    </w:p>
    <w:p w:rsidR="00A62567" w:rsidRPr="00A62567" w:rsidRDefault="00A62567" w:rsidP="00A6256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 физической подготовленности: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увеличение доли учащихся, выполнивших нормативы на знаки отличия (за 2 года — на 27%);</w:t>
      </w:r>
    </w:p>
    <w:p w:rsidR="00A62567" w:rsidRPr="00A62567" w:rsidRDefault="00A62567" w:rsidP="00A6256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мотивации: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рост числа участников спортивных секций на 40%;</w:t>
      </w:r>
    </w:p>
    <w:p w:rsidR="00A62567" w:rsidRPr="00A62567" w:rsidRDefault="00A62567" w:rsidP="00A6256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здоровья: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снижение заболеваемости ОРЗ на 15% среди активных участников ГТО;</w:t>
      </w:r>
    </w:p>
    <w:p w:rsidR="00A62567" w:rsidRPr="00A62567" w:rsidRDefault="00A62567" w:rsidP="00A6256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эффект: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школьного спортивного актива, развитие лидерских качеств.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Значимость для образовательного процесса:</w:t>
      </w:r>
    </w:p>
    <w:p w:rsidR="00A62567" w:rsidRPr="00A62567" w:rsidRDefault="00A62567" w:rsidP="00A62567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сбережение.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ГТО становится системообразующим элементом </w:t>
      </w:r>
      <w:proofErr w:type="spellStart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школы.</w:t>
      </w:r>
    </w:p>
    <w:p w:rsidR="00A62567" w:rsidRPr="00A62567" w:rsidRDefault="00A62567" w:rsidP="00A62567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Профориентация.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спортивно одаренных детей, ориентация на профессии в сфере физкультуры и спорта.</w:t>
      </w:r>
    </w:p>
    <w:p w:rsidR="00A62567" w:rsidRPr="00A62567" w:rsidRDefault="00A62567" w:rsidP="00A62567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Воспитательный потенциал.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дисциплины, воли, командного духа.</w:t>
      </w:r>
    </w:p>
    <w:p w:rsidR="00A62567" w:rsidRPr="00A62567" w:rsidRDefault="00A62567" w:rsidP="00A62567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образования и спорта.</w:t>
      </w: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модели непрерывного физического воспитания.</w:t>
      </w:r>
    </w:p>
    <w:p w:rsidR="00A62567" w:rsidRPr="00A62567" w:rsidRDefault="00A62567" w:rsidP="00A6256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и перспективы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ВФСК ГТО в школе № 55 г. Магнитогорска доказало свою эффективность как механизма реализации требований ФГОС в области физического воспитания. Ключевые факторы успеха:</w:t>
      </w:r>
    </w:p>
    <w:p w:rsidR="00A62567" w:rsidRPr="00A62567" w:rsidRDefault="00A62567" w:rsidP="00A6256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подхода;</w:t>
      </w:r>
    </w:p>
    <w:p w:rsidR="00A62567" w:rsidRPr="00A62567" w:rsidRDefault="00A62567" w:rsidP="00A6256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 образовательного процесса;</w:t>
      </w:r>
    </w:p>
    <w:p w:rsidR="00A62567" w:rsidRPr="00A62567" w:rsidRDefault="00A62567" w:rsidP="00A6256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под локальные условия;</w:t>
      </w:r>
    </w:p>
    <w:p w:rsidR="00A62567" w:rsidRPr="00A62567" w:rsidRDefault="00A62567" w:rsidP="00A6256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мотивационных инструментов.</w:t>
      </w:r>
    </w:p>
    <w:p w:rsidR="00A62567" w:rsidRPr="00A62567" w:rsidRDefault="00A62567" w:rsidP="00A6256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Перспективные направления развития:</w:t>
      </w:r>
    </w:p>
    <w:p w:rsidR="00A62567" w:rsidRPr="00A62567" w:rsidRDefault="00A62567" w:rsidP="00A62567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инклюзивных практик для детей с особыми потребностями;</w:t>
      </w:r>
    </w:p>
    <w:p w:rsidR="00A62567" w:rsidRPr="00A62567" w:rsidRDefault="00A62567" w:rsidP="00A62567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цифровых технологий мониторинга физической подготовленности;</w:t>
      </w:r>
    </w:p>
    <w:p w:rsidR="00A62567" w:rsidRPr="00A62567" w:rsidRDefault="00A62567" w:rsidP="00A62567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межшкольного сотрудничества в рамках городского проекта ГТО;</w:t>
      </w:r>
    </w:p>
    <w:p w:rsidR="00A62567" w:rsidRPr="00A62567" w:rsidRDefault="00A62567" w:rsidP="00A62567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</w:t>
      </w:r>
      <w:proofErr w:type="spellStart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составляющей (знакомство с профессиями спортивной индустрии).</w:t>
      </w:r>
    </w:p>
    <w:p w:rsidR="00A62567" w:rsidRPr="00A62567" w:rsidRDefault="00A62567" w:rsidP="00A62567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62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ГТО в школе — не просто набор нормативов, а целостная образовательная система, способствующая гармоничному развитию личности в соответствии с современными стандартами российского образования</w:t>
      </w:r>
      <w:r w:rsidRPr="00A625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6F16" w:rsidRDefault="00CD6F16"/>
    <w:sectPr w:rsidR="00CD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490"/>
    <w:multiLevelType w:val="multilevel"/>
    <w:tmpl w:val="70E2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B0AF0"/>
    <w:multiLevelType w:val="multilevel"/>
    <w:tmpl w:val="79B6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4D98"/>
    <w:multiLevelType w:val="multilevel"/>
    <w:tmpl w:val="FFAE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E24AE"/>
    <w:multiLevelType w:val="multilevel"/>
    <w:tmpl w:val="D5B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846CD"/>
    <w:multiLevelType w:val="multilevel"/>
    <w:tmpl w:val="D18A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3450F"/>
    <w:multiLevelType w:val="multilevel"/>
    <w:tmpl w:val="153E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C0205"/>
    <w:multiLevelType w:val="multilevel"/>
    <w:tmpl w:val="5A2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F1335"/>
    <w:multiLevelType w:val="multilevel"/>
    <w:tmpl w:val="23B6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80D89"/>
    <w:multiLevelType w:val="multilevel"/>
    <w:tmpl w:val="FA2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DC"/>
    <w:rsid w:val="00A62567"/>
    <w:rsid w:val="00AE64DC"/>
    <w:rsid w:val="00C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0B0B"/>
  <w15:chartTrackingRefBased/>
  <w15:docId w15:val="{12B0E1E3-144D-4BE4-9176-40440684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909</Words>
  <Characters>5183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Овинкин</dc:creator>
  <cp:keywords/>
  <dc:description/>
  <cp:lastModifiedBy>Кирилл Овинкин</cp:lastModifiedBy>
  <cp:revision>2</cp:revision>
  <dcterms:created xsi:type="dcterms:W3CDTF">2025-12-01T14:21:00Z</dcterms:created>
  <dcterms:modified xsi:type="dcterms:W3CDTF">2025-12-01T14:23:00Z</dcterms:modified>
</cp:coreProperties>
</file>