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proofErr w:type="spellStart"/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овременная</w:t>
      </w:r>
      <w:proofErr w:type="spellEnd"/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 xml:space="preserve"> школьная физическая культура в России сталкивается с недостатком финансирования, что приводит к нехватке спортивного оборудования и условий для занятий. Многие школы не имеют необходимой инфраструктуры, что ограничивает возможности учащихся заниматься физической активностью на должном уровне. Это, в свою очередь, негативно сказывается на мотивации детей к занятиям спортом и физической активностью, что приводит к формированию пассивного образа жизни.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Кроме того, существует проблема недостаточной квалификации педагогов, преподавателей физической культуры, которые не всегда имеют достаточные знания и навыки для эффективного обучения и воспитания учеников. На многих учебных заведениях наблюдается недостаток профессиональных тренеров и наставников, что также сказывается на качестве физического воспитания.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Предлагаемые перспективы развития школьной физической культуры включают внедрение современных методов преподавания и использование инновационных технологий, которые смогут привлечь внимание детей и молодежи к занятиям спортом. Важно проводить регулярные спортивные мероприятия и соревнования, которые помогут формировать командный дух и способствовать социализации учащихся, тем самым укрепляя не только физическое, но и психологическое здоровье.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Основные проблемы школьной физической культуры: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1. Недостаточное материально-техническое обеспечение: Многие российские школы испытывают острую нехватку спортивного инвентаря, современных спортивных залов и оборудованных спортивных площадок. Это существенно ограничивает возможности проведения полноценных уроков физкультуры и внеурочных спортивных мероприятий, особенно в сельской местности. Отсутствие адекватных условий для занятий негативно сказывается на качестве физического воспитания.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 xml:space="preserve">2. Низкий уровень квалификации педагогических кадров: Нехватка квалифицированных специалистов в области физической культуры и спорта остается серьезной проблемой. Многие учителя не имеют достаточных знаний и навыков для разработки индивидуальных программ тренировок и </w:t>
      </w: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lastRenderedPageBreak/>
        <w:t>применения современных методик обучения. Систематическое повышение квалификации педагогов часто оставляет желать лучшего.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3. Однообразие и низкая интенсивность уроков: Традиционные уроки физкультуры зачастую ограничиваются стандартным набором упражнений, не всегда соответствующим возрастным и индивидуальным особенностям учащихся. Это приводит к снижению мотивации и недостаточной физической нагрузке. Отсутствие вариативности и игровых методик делает уроки скучными и неэффективными.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 xml:space="preserve">4. Отсутствие индивидуального подхода: </w:t>
      </w:r>
      <w:proofErr w:type="gramStart"/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В</w:t>
      </w:r>
      <w:proofErr w:type="gramEnd"/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 xml:space="preserve"> большинстве школ не учитываются индивидуальные физические возможности и уровень подготовки учащихся. Это может привести как к перетренированности, так и к недостаточной нагрузке, что негативно влияет на здоровье и физическое развитие детей.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5. Низкая мотивация учащихся: Многие школьники не воспринимают уроки физической культуры как интересное и полезное занятие. Это часто связано с однообразием упражнений, отсутствием индивидуального подхода и недостатком системы поощрения.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Перспективы развития школьной физической культуры: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1. Модернизация материально-технической базы: Необходимо значительно улучшить материально-техническое обеспечение школ, создавая современные спортивные площадки и залы, обеспечивая их необходимым инвентарем. Это позволит проводить более эффективные и интересные уроки физической культуры.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2. Повышение квалификации педагогических кадров: Регулярное повышение квалификации учителей физической культуры с использованием современных методик обучения является необходимым условием для повышения эффективности уроков.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 xml:space="preserve">3. Внедрение инновационных методик: Использование инновационных методик, таких как игровые технологии, функциональный тренинг и </w:t>
      </w: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lastRenderedPageBreak/>
        <w:t>адаптивные программы, позволит повысить интерес учащихся к занятиям и их эффективность.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4. Индивидуализация обучения: Разработка индивидуальных программ тренировок с учетом возрастных и физиологических особенностей каждого ученика позволит обеспечить оптимальную нагрузку и достижение максимальных результатов.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5. Формирование позитивной мотивации: Создание атмосферы взаимопонимания и поддержки между учителем и учениками, использование разнообразных форм поощрения и вовлечение учащихся в спортивную деятельность вне школы способствуют повышению мотивации.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Решение проблемы укрепления здоровья школьников и повышения эффективности системы школьной физической культуры требует комплексного подхода, включающего модернизацию материально-технической базы, повышение квалификации преподавателей, внедрение инновационных методик, индивидуализацию обучения и формирование положительной мотивации у учащихся. Только такой подход позволит обеспечить реальное улучшение физического здоровья и формирование здорового активного образа жизни у подростков. Однако, успех этих мер зависит от системной работы на всех уровнях: от федерального уровня (разработка и финансирование федеральных программ, стандартизация требований к материально-техническому обеспечению школ) до уровня отдельной школы (взаимодействие педагогов, родителей и учащихся, создание стимулирующей атмосферы).</w:t>
      </w:r>
    </w:p>
    <w:p w:rsidR="00EE5A43" w:rsidRPr="00EE5A43" w:rsidRDefault="00EE5A43" w:rsidP="00EE5A4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  <w:t> </w:t>
      </w:r>
    </w:p>
    <w:p w:rsidR="00EE5A43" w:rsidRPr="00EE5A43" w:rsidRDefault="00EE5A43" w:rsidP="00EE5A43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02337"/>
          <w:sz w:val="24"/>
          <w:szCs w:val="24"/>
          <w:lang w:eastAsia="ru-RU"/>
        </w:rPr>
      </w:pPr>
      <w:r w:rsidRPr="00EE5A43">
        <w:rPr>
          <w:rFonts w:ascii="Times New Roman" w:eastAsia="Times New Roman" w:hAnsi="Times New Roman" w:cs="Times New Roman"/>
          <w:color w:val="002337"/>
          <w:sz w:val="28"/>
          <w:szCs w:val="28"/>
          <w:lang w:eastAsia="ru-RU"/>
        </w:rPr>
        <w:t>Дальнейшие исследования должны быть направлены на разработку эффективных методик и программ, учитывающих специфику российских школ и социально-экономических условий, а также на разработку системы мониторинга эффективности вводимых мер. Особое внимание следует уделить исследованию долгосрочных эффектов внедрения инновационных подходов к физическому воспитанию на здоровье и общее благополучие школьников. Только постоянный мониторинг и корректировка стратегии на основе полученных данных позволят добиться настоящего прорыва в области укрепления здоровья подростков и повышения качества образования в России.</w:t>
      </w:r>
    </w:p>
    <w:p w:rsidR="00EE5A43" w:rsidRPr="00EE5A43" w:rsidRDefault="00EE5A43" w:rsidP="00EE5A43">
      <w:pPr>
        <w:shd w:val="clear" w:color="auto" w:fill="FFFFFF"/>
        <w:spacing w:after="120" w:line="594" w:lineRule="atLeast"/>
        <w:outlineLvl w:val="1"/>
        <w:rPr>
          <w:rFonts w:ascii="Segoe UI" w:eastAsia="Times New Roman" w:hAnsi="Segoe UI" w:cs="Segoe UI"/>
          <w:b/>
          <w:bCs/>
          <w:color w:val="002337"/>
          <w:sz w:val="54"/>
          <w:szCs w:val="54"/>
          <w:lang w:eastAsia="ru-RU"/>
        </w:rPr>
      </w:pPr>
      <w:r w:rsidRPr="00EE5A43">
        <w:rPr>
          <w:rFonts w:ascii="Segoe UI" w:eastAsia="Times New Roman" w:hAnsi="Segoe UI" w:cs="Segoe UI"/>
          <w:b/>
          <w:bCs/>
          <w:color w:val="002337"/>
          <w:sz w:val="54"/>
          <w:szCs w:val="54"/>
          <w:lang w:eastAsia="ru-RU"/>
        </w:rPr>
        <w:lastRenderedPageBreak/>
        <w:t>Список литературы</w:t>
      </w:r>
    </w:p>
    <w:p w:rsidR="00EE5A43" w:rsidRPr="00EE5A43" w:rsidRDefault="00EE5A43" w:rsidP="00EE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60"/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</w:pPr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 xml:space="preserve">Г.Р. </w:t>
      </w:r>
      <w:proofErr w:type="spellStart"/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>Кирменёва</w:t>
      </w:r>
      <w:proofErr w:type="spellEnd"/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>, Роль физической культуры и спорта в жизни студента. [Электронный ресурс]. URL: https://portalnp.snauka.ru/2018/11/10116 (дата обращения 08.11.2024)</w:t>
      </w:r>
    </w:p>
    <w:p w:rsidR="00EE5A43" w:rsidRPr="00EE5A43" w:rsidRDefault="00EE5A43" w:rsidP="00EE5A43">
      <w:pPr>
        <w:numPr>
          <w:ilvl w:val="0"/>
          <w:numId w:val="1"/>
        </w:numPr>
        <w:shd w:val="clear" w:color="auto" w:fill="FFFFFF"/>
        <w:spacing w:before="300" w:after="100" w:afterAutospacing="1" w:line="240" w:lineRule="auto"/>
        <w:ind w:left="-60"/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</w:pPr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>Спорт — неотъемлемая часть здорового образа жизни. [Электронный ресурс]. URL: https://healthy-lifestyle-24.ru/fizicheskaya-kultura-i-zdorovyj-obraz-zhizni/sport-neotemlemaya-chast-zdorovogo-obraza-zhizni/ (дата обращения 08.11.2024)</w:t>
      </w:r>
    </w:p>
    <w:p w:rsidR="00EE5A43" w:rsidRPr="00EE5A43" w:rsidRDefault="00EE5A43" w:rsidP="00EE5A43">
      <w:pPr>
        <w:numPr>
          <w:ilvl w:val="0"/>
          <w:numId w:val="1"/>
        </w:numPr>
        <w:shd w:val="clear" w:color="auto" w:fill="FFFFFF"/>
        <w:spacing w:before="300" w:after="100" w:afterAutospacing="1" w:line="240" w:lineRule="auto"/>
        <w:ind w:left="-60"/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</w:pPr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>Фитнес тренды 2024: новые подходы к здоровому образу жизни. [Электронный ресурс]. URL: https://guru.wildberries.ru/article/fitnes-trendy-2024-novye-podhody-k-zdorovomu-obrazu-zhizni-1697623334 (дата обращения 08.11.2024)</w:t>
      </w:r>
    </w:p>
    <w:p w:rsidR="00EE5A43" w:rsidRPr="00EE5A43" w:rsidRDefault="00EE5A43" w:rsidP="00EE5A43">
      <w:pPr>
        <w:numPr>
          <w:ilvl w:val="0"/>
          <w:numId w:val="1"/>
        </w:numPr>
        <w:shd w:val="clear" w:color="auto" w:fill="FFFFFF"/>
        <w:spacing w:before="300" w:after="100" w:afterAutospacing="1" w:line="240" w:lineRule="auto"/>
        <w:ind w:left="-60"/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</w:pPr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>Общая физическая и специальная подготовка в системе физического воспитания. [Электронный ресурс]. URL: https://www.yaneuch.ru/cat_91/obshhaya-fizicheskaya-i-specialnaya-podgotovka/139151.1869400.page3.html (дата обращения 08.11.2024)</w:t>
      </w:r>
    </w:p>
    <w:p w:rsidR="00EE5A43" w:rsidRPr="00EE5A43" w:rsidRDefault="00EE5A43" w:rsidP="00EE5A43">
      <w:pPr>
        <w:numPr>
          <w:ilvl w:val="0"/>
          <w:numId w:val="1"/>
        </w:numPr>
        <w:shd w:val="clear" w:color="auto" w:fill="FFFFFF"/>
        <w:spacing w:before="300" w:after="100" w:afterAutospacing="1" w:line="240" w:lineRule="auto"/>
        <w:ind w:left="-60"/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</w:pPr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>Ю.И. Евсеев, Физическая культура / Ю.И. Евсеев. - Серия «Учебники, учебные пособия». Ростов-н/Д: Феникс, 2003. — 384 с. URL:https://away.vk.com/</w:t>
      </w:r>
      <w:proofErr w:type="gramStart"/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>away.php?rh</w:t>
      </w:r>
      <w:proofErr w:type="gramEnd"/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>=0845dd5c-e915-4273-b89c-c07e2b9ef374 (дата обращения 08.11.2024)</w:t>
      </w:r>
    </w:p>
    <w:p w:rsidR="00EE5A43" w:rsidRPr="00EE5A43" w:rsidRDefault="00EE5A43" w:rsidP="00EE5A43">
      <w:pPr>
        <w:numPr>
          <w:ilvl w:val="0"/>
          <w:numId w:val="1"/>
        </w:numPr>
        <w:shd w:val="clear" w:color="auto" w:fill="FFFFFF"/>
        <w:spacing w:before="300" w:after="100" w:afterAutospacing="1" w:line="240" w:lineRule="auto"/>
        <w:ind w:left="-60"/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</w:pPr>
      <w:r w:rsidRPr="00EE5A43">
        <w:rPr>
          <w:rFonts w:ascii="Open Sans" w:eastAsia="Times New Roman" w:hAnsi="Open Sans" w:cs="Segoe UI"/>
          <w:color w:val="333333"/>
          <w:sz w:val="24"/>
          <w:szCs w:val="24"/>
          <w:lang w:eastAsia="ru-RU"/>
        </w:rPr>
        <w:t>Зайцева, Т.А. Влияние физической активности на учебные достижения детей // Труд и здоровье в современном обществе, 2021, 4 (2), С. 77-81</w:t>
      </w:r>
    </w:p>
    <w:p w:rsidR="0080384B" w:rsidRDefault="0080384B">
      <w:bookmarkStart w:id="0" w:name="_GoBack"/>
      <w:bookmarkEnd w:id="0"/>
    </w:p>
    <w:sectPr w:rsidR="0080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64B5C"/>
    <w:multiLevelType w:val="multilevel"/>
    <w:tmpl w:val="8B9A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43"/>
    <w:rsid w:val="0080384B"/>
    <w:rsid w:val="00E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CF53E-E150-4FC5-869F-87CF908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5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EE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84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967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1446">
              <w:marLeft w:val="-60"/>
              <w:marRight w:val="-6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406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Александрович Абрамовский</dc:creator>
  <cp:keywords/>
  <dc:description/>
  <cp:lastModifiedBy>Иван Александрович Абрамовский</cp:lastModifiedBy>
  <cp:revision>1</cp:revision>
  <dcterms:created xsi:type="dcterms:W3CDTF">2026-06-03T09:20:00Z</dcterms:created>
  <dcterms:modified xsi:type="dcterms:W3CDTF">2026-06-03T09:20:00Z</dcterms:modified>
</cp:coreProperties>
</file>